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13C38" w14:textId="77777777" w:rsidR="001D563D" w:rsidRPr="00FB4AAA" w:rsidRDefault="001D563D" w:rsidP="00FB4AAA">
      <w:pPr>
        <w:pStyle w:val="Default"/>
        <w:spacing w:line="320" w:lineRule="exact"/>
        <w:rPr>
          <w:rFonts w:asciiTheme="minorHAnsi" w:hAnsiTheme="minorHAnsi" w:cstheme="minorHAnsi"/>
          <w:color w:val="auto"/>
        </w:rPr>
      </w:pPr>
    </w:p>
    <w:p w14:paraId="77001FE9" w14:textId="556A2D3A" w:rsidR="001D563D" w:rsidRPr="00FB4AAA" w:rsidRDefault="00E30261" w:rsidP="00FB4AAA">
      <w:pPr>
        <w:pStyle w:val="Default"/>
        <w:spacing w:line="320" w:lineRule="exact"/>
        <w:jc w:val="center"/>
        <w:rPr>
          <w:rFonts w:asciiTheme="minorHAnsi" w:hAnsiTheme="minorHAnsi" w:cstheme="minorHAnsi"/>
          <w:color w:val="auto"/>
          <w:u w:val="single"/>
        </w:rPr>
      </w:pPr>
      <w:r w:rsidRPr="00FB4AAA">
        <w:rPr>
          <w:rFonts w:asciiTheme="minorHAnsi" w:hAnsiTheme="minorHAnsi" w:cstheme="minorHAnsi"/>
          <w:b/>
          <w:bCs/>
          <w:color w:val="auto"/>
        </w:rPr>
        <w:br/>
      </w:r>
      <w:r w:rsidR="001D563D" w:rsidRPr="00FB4AAA">
        <w:rPr>
          <w:rFonts w:asciiTheme="minorHAnsi" w:hAnsiTheme="minorHAnsi" w:cstheme="minorHAnsi"/>
          <w:b/>
          <w:bCs/>
          <w:color w:val="auto"/>
          <w:u w:val="single"/>
        </w:rPr>
        <w:t>POLÍTICA DE INVESTIMENTOS PRÓPRIOS</w:t>
      </w:r>
    </w:p>
    <w:p w14:paraId="5AD51951" w14:textId="1BBE7BDA" w:rsidR="001D563D" w:rsidRPr="00F90DD4" w:rsidRDefault="00F90DD4" w:rsidP="00FB4AAA">
      <w:pPr>
        <w:spacing w:line="320" w:lineRule="exact"/>
        <w:jc w:val="center"/>
        <w:rPr>
          <w:rFonts w:asciiTheme="minorHAnsi" w:hAnsiTheme="minorHAnsi" w:cstheme="minorHAnsi"/>
          <w:b/>
          <w:caps/>
          <w:color w:val="000000" w:themeColor="text1"/>
          <w:u w:val="single"/>
        </w:rPr>
      </w:pPr>
      <w:r w:rsidRPr="00F90DD4">
        <w:rPr>
          <w:rFonts w:asciiTheme="minorHAnsi" w:hAnsiTheme="minorHAnsi" w:cstheme="minorHAnsi"/>
          <w:b/>
          <w:u w:val="single"/>
        </w:rPr>
        <w:t>W. ADVISORS - ENGENHARIA FINANCEIRA LTDA</w:t>
      </w:r>
      <w:r w:rsidRPr="00F90DD4">
        <w:rPr>
          <w:rFonts w:asciiTheme="minorHAnsi" w:hAnsiTheme="minorHAnsi" w:cstheme="minorHAnsi"/>
          <w:b/>
          <w:bCs/>
          <w:snapToGrid w:val="0"/>
          <w:u w:val="single"/>
        </w:rPr>
        <w:t>.</w:t>
      </w:r>
    </w:p>
    <w:p w14:paraId="3C391304" w14:textId="13DCA8EE" w:rsidR="001D563D" w:rsidRPr="00FB4AAA" w:rsidRDefault="001D563D" w:rsidP="00FB4AAA">
      <w:pPr>
        <w:pStyle w:val="Default"/>
        <w:spacing w:line="320" w:lineRule="exact"/>
        <w:jc w:val="center"/>
        <w:rPr>
          <w:rFonts w:asciiTheme="minorHAnsi" w:hAnsiTheme="minorHAnsi" w:cstheme="minorHAnsi"/>
          <w:color w:val="auto"/>
        </w:rPr>
      </w:pPr>
      <w:r w:rsidRPr="00FB4AAA">
        <w:rPr>
          <w:rFonts w:asciiTheme="minorHAnsi" w:hAnsiTheme="minorHAnsi" w:cstheme="minorHAnsi"/>
          <w:color w:val="auto"/>
        </w:rPr>
        <w:t>(“Sociedade”)</w:t>
      </w:r>
    </w:p>
    <w:p w14:paraId="13496F75" w14:textId="77777777" w:rsidR="001D563D" w:rsidRPr="00FB4AAA" w:rsidRDefault="001D563D" w:rsidP="00FB4AAA">
      <w:pPr>
        <w:pStyle w:val="Default"/>
        <w:spacing w:line="320" w:lineRule="exact"/>
        <w:rPr>
          <w:rFonts w:asciiTheme="minorHAnsi" w:hAnsiTheme="minorHAnsi" w:cstheme="minorHAnsi"/>
          <w:color w:val="auto"/>
        </w:rPr>
      </w:pPr>
    </w:p>
    <w:p w14:paraId="03458970" w14:textId="77777777" w:rsidR="001D563D" w:rsidRPr="00FB4AAA" w:rsidRDefault="001D563D" w:rsidP="00FB4AAA">
      <w:pPr>
        <w:pStyle w:val="Default"/>
        <w:spacing w:line="320" w:lineRule="exact"/>
        <w:rPr>
          <w:rFonts w:asciiTheme="minorHAnsi" w:hAnsiTheme="minorHAnsi" w:cstheme="minorHAnsi"/>
          <w:b/>
          <w:bCs/>
          <w:color w:val="auto"/>
        </w:rPr>
      </w:pPr>
    </w:p>
    <w:p w14:paraId="7818D4E9" w14:textId="2544A66E" w:rsidR="001D563D" w:rsidRPr="00FB4AAA" w:rsidRDefault="001D563D" w:rsidP="00FB4AAA">
      <w:pPr>
        <w:pStyle w:val="Default"/>
        <w:spacing w:line="320" w:lineRule="exact"/>
        <w:jc w:val="both"/>
        <w:rPr>
          <w:rFonts w:asciiTheme="minorHAnsi" w:hAnsiTheme="minorHAnsi" w:cstheme="minorHAnsi"/>
          <w:color w:val="auto"/>
        </w:rPr>
      </w:pPr>
      <w:r w:rsidRPr="00FB4AAA">
        <w:rPr>
          <w:rFonts w:asciiTheme="minorHAnsi" w:hAnsiTheme="minorHAnsi" w:cstheme="minorHAnsi"/>
          <w:b/>
          <w:bCs/>
          <w:color w:val="auto"/>
        </w:rPr>
        <w:t>Objetivo</w:t>
      </w:r>
      <w:r w:rsidRPr="00FB4AAA">
        <w:rPr>
          <w:rFonts w:asciiTheme="minorHAnsi" w:hAnsiTheme="minorHAnsi" w:cstheme="minorHAnsi"/>
          <w:color w:val="auto"/>
        </w:rPr>
        <w:t xml:space="preserve">: a presente Política tem por objetivo formalizar a Política de Investimentos Próprios, a fim de evitar potenciais conflitos de interesse entre as carteiras </w:t>
      </w:r>
      <w:r w:rsidR="006D2A17">
        <w:rPr>
          <w:rFonts w:asciiTheme="minorHAnsi" w:hAnsiTheme="minorHAnsi" w:cstheme="minorHAnsi"/>
          <w:color w:val="auto"/>
        </w:rPr>
        <w:t>de clientes d</w:t>
      </w:r>
      <w:r w:rsidRPr="00FB4AAA">
        <w:rPr>
          <w:rFonts w:asciiTheme="minorHAnsi" w:hAnsiTheme="minorHAnsi" w:cstheme="minorHAnsi"/>
          <w:color w:val="auto"/>
        </w:rPr>
        <w:t xml:space="preserve">a Sociedade e os investimentos pessoais dos colaboradores da Sociedade e aqueles realizados pela tesouraria da Sociedade no âmbito do mercado financeiro e de capitais. </w:t>
      </w:r>
    </w:p>
    <w:p w14:paraId="5C173F8E" w14:textId="02EE1583" w:rsidR="00186534" w:rsidRPr="00FB4AAA" w:rsidRDefault="00186534" w:rsidP="00FB4AAA">
      <w:pPr>
        <w:pStyle w:val="Default"/>
        <w:spacing w:line="320" w:lineRule="exact"/>
        <w:jc w:val="both"/>
        <w:rPr>
          <w:rFonts w:asciiTheme="minorHAnsi" w:hAnsiTheme="minorHAnsi" w:cstheme="minorHAnsi"/>
          <w:color w:val="auto"/>
        </w:rPr>
      </w:pPr>
    </w:p>
    <w:p w14:paraId="02BBFDCA" w14:textId="4981E27B" w:rsidR="00186534" w:rsidRPr="00FB4AAA" w:rsidRDefault="00186534" w:rsidP="00FB4AAA">
      <w:pPr>
        <w:pStyle w:val="Default"/>
        <w:spacing w:line="320" w:lineRule="exact"/>
        <w:jc w:val="both"/>
        <w:rPr>
          <w:rFonts w:asciiTheme="minorHAnsi" w:hAnsiTheme="minorHAnsi" w:cstheme="minorHAnsi"/>
          <w:color w:val="auto"/>
        </w:rPr>
      </w:pPr>
      <w:r w:rsidRPr="00FB4AAA">
        <w:rPr>
          <w:rFonts w:asciiTheme="minorHAnsi" w:hAnsiTheme="minorHAnsi" w:cstheme="minorHAnsi"/>
          <w:color w:val="auto"/>
        </w:rPr>
        <w:t>Deste modo, os investimentos efetuados em benefício próprio, no mercado financeiro, devem ser coordenados a fim de não interferir de forma negativa no desempenho das atividades de cada um dos colaboradores na Sociedade, sendo realizados de forma completamente segregada das operações realizadas em nome da Sociedade.</w:t>
      </w:r>
    </w:p>
    <w:p w14:paraId="5CEBE1C7" w14:textId="16DA51F7" w:rsidR="00186534" w:rsidRPr="00FB4AAA" w:rsidRDefault="00186534" w:rsidP="00FB4AAA">
      <w:pPr>
        <w:pStyle w:val="Default"/>
        <w:spacing w:line="320" w:lineRule="exact"/>
        <w:jc w:val="both"/>
        <w:rPr>
          <w:rFonts w:asciiTheme="minorHAnsi" w:hAnsiTheme="minorHAnsi" w:cstheme="minorHAnsi"/>
          <w:color w:val="auto"/>
        </w:rPr>
      </w:pPr>
    </w:p>
    <w:p w14:paraId="50873CEF" w14:textId="717CD3B2" w:rsidR="00186534" w:rsidRPr="00FB4AAA" w:rsidRDefault="00186534" w:rsidP="00FB4AAA">
      <w:pPr>
        <w:pStyle w:val="Default"/>
        <w:spacing w:line="320" w:lineRule="exact"/>
        <w:jc w:val="both"/>
        <w:rPr>
          <w:rFonts w:asciiTheme="minorHAnsi" w:hAnsiTheme="minorHAnsi" w:cstheme="minorHAnsi"/>
          <w:color w:val="auto"/>
        </w:rPr>
      </w:pPr>
      <w:r w:rsidRPr="00FB4AAA">
        <w:rPr>
          <w:rFonts w:asciiTheme="minorHAnsi" w:hAnsiTheme="minorHAnsi" w:cstheme="minorHAnsi"/>
          <w:color w:val="auto"/>
        </w:rPr>
        <w:t xml:space="preserve">Toda e qualquer negociação para carteiras </w:t>
      </w:r>
      <w:r w:rsidR="006D2A17">
        <w:rPr>
          <w:rFonts w:asciiTheme="minorHAnsi" w:hAnsiTheme="minorHAnsi" w:cstheme="minorHAnsi"/>
          <w:color w:val="auto"/>
        </w:rPr>
        <w:t>de clientes</w:t>
      </w:r>
      <w:r w:rsidRPr="00FB4AAA">
        <w:rPr>
          <w:rFonts w:asciiTheme="minorHAnsi" w:hAnsiTheme="minorHAnsi" w:cstheme="minorHAnsi"/>
          <w:color w:val="auto"/>
        </w:rPr>
        <w:t xml:space="preserve"> da Sociedade deve ter prioridade sobre as operações relativas aos investimentos pessoais dos colaboradores.</w:t>
      </w:r>
      <w:r w:rsidR="004A23B3" w:rsidRPr="00FB4AAA">
        <w:rPr>
          <w:rFonts w:asciiTheme="minorHAnsi" w:hAnsiTheme="minorHAnsi" w:cstheme="minorHAnsi"/>
          <w:color w:val="auto"/>
        </w:rPr>
        <w:t xml:space="preserve"> Investimentos de alto risco ou difícil mensuração que possam comprometer o equilíbrio financeiro do colaborador e, consequentemente, o seu desempenho junto à Sociedade, devem ser evitados.</w:t>
      </w:r>
    </w:p>
    <w:p w14:paraId="46014DF0" w14:textId="77777777" w:rsidR="00E56F95" w:rsidRPr="00FB4AAA" w:rsidRDefault="00E56F95" w:rsidP="00FB4AAA">
      <w:pPr>
        <w:pStyle w:val="Default"/>
        <w:spacing w:line="320" w:lineRule="exact"/>
        <w:jc w:val="both"/>
        <w:rPr>
          <w:rFonts w:asciiTheme="minorHAnsi" w:hAnsiTheme="minorHAnsi" w:cstheme="minorHAnsi"/>
          <w:b/>
          <w:bCs/>
          <w:color w:val="auto"/>
        </w:rPr>
      </w:pPr>
    </w:p>
    <w:p w14:paraId="48F73DA7" w14:textId="4F40A32D" w:rsidR="00FB4AAA" w:rsidRDefault="001D563D" w:rsidP="00FB4AAA">
      <w:pPr>
        <w:pStyle w:val="Default"/>
        <w:spacing w:line="320" w:lineRule="exact"/>
        <w:jc w:val="both"/>
        <w:rPr>
          <w:rFonts w:asciiTheme="minorHAnsi" w:hAnsiTheme="minorHAnsi" w:cstheme="minorHAnsi"/>
          <w:color w:val="auto"/>
        </w:rPr>
      </w:pPr>
      <w:r w:rsidRPr="00FB4AAA">
        <w:rPr>
          <w:rFonts w:asciiTheme="minorHAnsi" w:hAnsiTheme="minorHAnsi" w:cstheme="minorHAnsi"/>
          <w:b/>
          <w:bCs/>
          <w:color w:val="auto"/>
        </w:rPr>
        <w:t>Abrangência</w:t>
      </w:r>
      <w:r w:rsidRPr="00FB4AAA">
        <w:rPr>
          <w:rFonts w:asciiTheme="minorHAnsi" w:hAnsiTheme="minorHAnsi" w:cstheme="minorHAnsi"/>
          <w:color w:val="auto"/>
        </w:rPr>
        <w:t>: as diretrizes estabelecidas neste documento devem ser observadas por todos os colaboradores da Sociedade, em especial aqueles envolvidos, direta ou indiretamente, na atividade de gestão profissional de recursos de terceiros</w:t>
      </w:r>
      <w:r w:rsidR="006D2A17">
        <w:rPr>
          <w:rFonts w:asciiTheme="minorHAnsi" w:hAnsiTheme="minorHAnsi" w:cstheme="minorHAnsi"/>
          <w:color w:val="auto"/>
        </w:rPr>
        <w:t xml:space="preserve"> e consultoria de investimentos</w:t>
      </w:r>
      <w:r w:rsidR="004A23B3" w:rsidRPr="00FB4AAA">
        <w:rPr>
          <w:rFonts w:asciiTheme="minorHAnsi" w:hAnsiTheme="minorHAnsi" w:cstheme="minorHAnsi"/>
          <w:color w:val="auto"/>
        </w:rPr>
        <w:t>, inclusive, se os investimentos realizados forem feitos por meio de</w:t>
      </w:r>
      <w:r w:rsidR="00983A87" w:rsidRPr="00FB4AAA">
        <w:rPr>
          <w:rFonts w:asciiTheme="minorHAnsi" w:hAnsiTheme="minorHAnsi" w:cstheme="minorHAnsi"/>
          <w:color w:val="auto"/>
        </w:rPr>
        <w:t xml:space="preserve"> classes de</w:t>
      </w:r>
      <w:r w:rsidR="004A23B3" w:rsidRPr="00FB4AAA">
        <w:rPr>
          <w:rFonts w:asciiTheme="minorHAnsi" w:hAnsiTheme="minorHAnsi" w:cstheme="minorHAnsi"/>
          <w:color w:val="auto"/>
        </w:rPr>
        <w:t xml:space="preserve"> fundos de investimento restrit</w:t>
      </w:r>
      <w:r w:rsidR="00983A87" w:rsidRPr="00FB4AAA">
        <w:rPr>
          <w:rFonts w:asciiTheme="minorHAnsi" w:hAnsiTheme="minorHAnsi" w:cstheme="minorHAnsi"/>
          <w:color w:val="auto"/>
        </w:rPr>
        <w:t>a</w:t>
      </w:r>
      <w:r w:rsidR="004A23B3" w:rsidRPr="00FB4AAA">
        <w:rPr>
          <w:rFonts w:asciiTheme="minorHAnsi" w:hAnsiTheme="minorHAnsi" w:cstheme="minorHAnsi"/>
          <w:color w:val="auto"/>
        </w:rPr>
        <w:t>s ou exclusiv</w:t>
      </w:r>
      <w:r w:rsidR="00983A87" w:rsidRPr="00FB4AAA">
        <w:rPr>
          <w:rFonts w:asciiTheme="minorHAnsi" w:hAnsiTheme="minorHAnsi" w:cstheme="minorHAnsi"/>
          <w:color w:val="auto"/>
        </w:rPr>
        <w:t>a</w:t>
      </w:r>
      <w:r w:rsidR="004A23B3" w:rsidRPr="00FB4AAA">
        <w:rPr>
          <w:rFonts w:asciiTheme="minorHAnsi" w:hAnsiTheme="minorHAnsi" w:cstheme="minorHAnsi"/>
          <w:color w:val="auto"/>
        </w:rPr>
        <w:t>s, cuja existência deverá ser comunicada ao Compliance</w:t>
      </w:r>
      <w:r w:rsidRPr="00FB4AAA">
        <w:rPr>
          <w:rFonts w:asciiTheme="minorHAnsi" w:hAnsiTheme="minorHAnsi" w:cstheme="minorHAnsi"/>
          <w:color w:val="auto"/>
        </w:rPr>
        <w:t xml:space="preserve">. </w:t>
      </w:r>
    </w:p>
    <w:p w14:paraId="6E589A3B" w14:textId="77777777" w:rsidR="00FB4AAA" w:rsidRDefault="00FB4AAA" w:rsidP="00FB4AAA">
      <w:pPr>
        <w:pStyle w:val="Default"/>
        <w:spacing w:line="320" w:lineRule="exact"/>
        <w:jc w:val="both"/>
        <w:rPr>
          <w:rFonts w:asciiTheme="minorHAnsi" w:hAnsiTheme="minorHAnsi" w:cstheme="minorHAnsi"/>
          <w:color w:val="auto"/>
        </w:rPr>
      </w:pPr>
    </w:p>
    <w:p w14:paraId="3A19322E" w14:textId="0FA06ECF" w:rsidR="009667C3" w:rsidRPr="00F90DD4" w:rsidRDefault="001D563D" w:rsidP="00F90DD4">
      <w:pPr>
        <w:spacing w:line="340" w:lineRule="exact"/>
        <w:jc w:val="both"/>
        <w:rPr>
          <w:rFonts w:asciiTheme="minorHAnsi" w:eastAsiaTheme="minorHAnsi" w:hAnsiTheme="minorHAnsi" w:cstheme="minorHAnsi"/>
          <w:lang w:eastAsia="en-US"/>
        </w:rPr>
      </w:pPr>
      <w:r w:rsidRPr="00FB4AAA">
        <w:rPr>
          <w:rFonts w:asciiTheme="minorHAnsi" w:hAnsiTheme="minorHAnsi" w:cstheme="minorHAnsi"/>
          <w:b/>
          <w:bCs/>
        </w:rPr>
        <w:t xml:space="preserve">Metodologia: </w:t>
      </w:r>
      <w:r w:rsidR="00F90DD4">
        <w:rPr>
          <w:rFonts w:asciiTheme="minorHAnsi" w:eastAsiaTheme="minorHAnsi" w:hAnsiTheme="minorHAnsi" w:cstheme="minorHAnsi"/>
          <w:lang w:eastAsia="en-US"/>
        </w:rPr>
        <w:t>t</w:t>
      </w:r>
      <w:r w:rsidR="00F90DD4" w:rsidRPr="00F90DD4">
        <w:rPr>
          <w:rFonts w:asciiTheme="minorHAnsi" w:eastAsiaTheme="minorHAnsi" w:hAnsiTheme="minorHAnsi" w:cstheme="minorHAnsi"/>
          <w:lang w:eastAsia="en-US"/>
        </w:rPr>
        <w:t xml:space="preserve">odas as negociações com valores mobiliários envolvendo colaboradores da Sociedade devem ocorrer objetivando a manutenção desses ativos como investimento, com manutenção da posição pelo período mínimo de 30 (trinta) dias, sendo todas as decisões tomadas com fundamentos lógicos e analíticos, sem que, sob qualquer hipótese, possa pairar indeterminação sobre a total independência entre os interesses da Sociedade e o de seus colaboradores. </w:t>
      </w:r>
    </w:p>
    <w:p w14:paraId="5E432A77" w14:textId="77777777" w:rsidR="00F90DD4" w:rsidRDefault="00F90DD4" w:rsidP="00FB4AAA">
      <w:pPr>
        <w:pStyle w:val="Default"/>
        <w:spacing w:line="320" w:lineRule="exact"/>
        <w:jc w:val="both"/>
        <w:rPr>
          <w:rFonts w:asciiTheme="minorHAnsi" w:hAnsiTheme="minorHAnsi" w:cstheme="minorHAnsi"/>
          <w:color w:val="auto"/>
        </w:rPr>
      </w:pPr>
    </w:p>
    <w:p w14:paraId="0ED390EA" w14:textId="09FD87C3" w:rsidR="001D563D" w:rsidRPr="00FB4AAA" w:rsidRDefault="001D563D" w:rsidP="00FB4AAA">
      <w:pPr>
        <w:pStyle w:val="Default"/>
        <w:spacing w:line="320" w:lineRule="exact"/>
        <w:jc w:val="both"/>
        <w:rPr>
          <w:rFonts w:asciiTheme="minorHAnsi" w:hAnsiTheme="minorHAnsi" w:cstheme="minorHAnsi"/>
          <w:color w:val="auto"/>
        </w:rPr>
      </w:pPr>
      <w:r w:rsidRPr="00FB4AAA">
        <w:rPr>
          <w:rFonts w:asciiTheme="minorHAnsi" w:hAnsiTheme="minorHAnsi" w:cstheme="minorHAnsi"/>
          <w:color w:val="auto"/>
        </w:rPr>
        <w:t>Excepcionalmente, determinadas operações poderão ser realizadas em nome próprio dos colaboradores</w:t>
      </w:r>
      <w:r w:rsidR="00F90DD4">
        <w:rPr>
          <w:rFonts w:asciiTheme="minorHAnsi" w:hAnsiTheme="minorHAnsi" w:cstheme="minorHAnsi"/>
          <w:color w:val="auto"/>
        </w:rPr>
        <w:t xml:space="preserve"> sem a observância do período de manutenção acima estabelecido</w:t>
      </w:r>
      <w:r w:rsidRPr="00FB4AAA">
        <w:rPr>
          <w:rFonts w:asciiTheme="minorHAnsi" w:hAnsiTheme="minorHAnsi" w:cstheme="minorHAnsi"/>
          <w:color w:val="auto"/>
        </w:rPr>
        <w:t xml:space="preserve">, desde que prévia e expressamente aprovadas pelo responsável pelo compliance e não configurem situação de conflito com as carteiras administradas pela Sociedade. </w:t>
      </w:r>
    </w:p>
    <w:p w14:paraId="46793DAF" w14:textId="77777777" w:rsidR="001D563D" w:rsidRPr="00FB4AAA" w:rsidRDefault="001D563D" w:rsidP="00FB4AAA">
      <w:pPr>
        <w:pStyle w:val="Default"/>
        <w:spacing w:line="320" w:lineRule="exact"/>
        <w:jc w:val="both"/>
        <w:rPr>
          <w:rFonts w:asciiTheme="minorHAnsi" w:hAnsiTheme="minorHAnsi" w:cstheme="minorHAnsi"/>
          <w:color w:val="auto"/>
        </w:rPr>
      </w:pPr>
    </w:p>
    <w:p w14:paraId="5B986134" w14:textId="796A994A" w:rsidR="001D563D" w:rsidRPr="00FB4AAA" w:rsidRDefault="001D563D" w:rsidP="00FB4AAA">
      <w:pPr>
        <w:pStyle w:val="Default"/>
        <w:spacing w:line="320" w:lineRule="exact"/>
        <w:jc w:val="both"/>
        <w:rPr>
          <w:rFonts w:asciiTheme="minorHAnsi" w:hAnsiTheme="minorHAnsi" w:cstheme="minorHAnsi"/>
          <w:color w:val="auto"/>
        </w:rPr>
      </w:pPr>
      <w:r w:rsidRPr="00FB4AAA">
        <w:rPr>
          <w:rFonts w:asciiTheme="minorHAnsi" w:hAnsiTheme="minorHAnsi" w:cstheme="minorHAnsi"/>
          <w:color w:val="auto"/>
        </w:rPr>
        <w:t xml:space="preserve">Para fins de autorização das operações excepcionais, o compliance deverá analisar os seguintes aspectos: </w:t>
      </w:r>
    </w:p>
    <w:p w14:paraId="34402C9B" w14:textId="77777777" w:rsidR="001D563D" w:rsidRPr="00FB4AAA" w:rsidRDefault="001D563D" w:rsidP="00FB4AAA">
      <w:pPr>
        <w:pStyle w:val="Default"/>
        <w:spacing w:line="320" w:lineRule="exact"/>
        <w:jc w:val="both"/>
        <w:rPr>
          <w:rFonts w:asciiTheme="minorHAnsi" w:hAnsiTheme="minorHAnsi" w:cstheme="minorHAnsi"/>
          <w:color w:val="auto"/>
        </w:rPr>
      </w:pPr>
    </w:p>
    <w:p w14:paraId="4E2A131C" w14:textId="0987B35B" w:rsidR="001D563D" w:rsidRPr="00FB4AAA" w:rsidRDefault="001D563D" w:rsidP="00FB4AAA">
      <w:pPr>
        <w:pStyle w:val="Default"/>
        <w:spacing w:line="320" w:lineRule="exact"/>
        <w:jc w:val="both"/>
        <w:rPr>
          <w:rFonts w:asciiTheme="minorHAnsi" w:hAnsiTheme="minorHAnsi" w:cstheme="minorHAnsi"/>
          <w:color w:val="auto"/>
        </w:rPr>
      </w:pPr>
      <w:r w:rsidRPr="00FB4AAA">
        <w:rPr>
          <w:rFonts w:asciiTheme="minorHAnsi" w:hAnsiTheme="minorHAnsi" w:cstheme="minorHAnsi"/>
          <w:color w:val="auto"/>
        </w:rPr>
        <w:t xml:space="preserve">(i) se a operação pretendida poderá implicar algum prejuízo para a Sociedade ou seus investidores; </w:t>
      </w:r>
    </w:p>
    <w:p w14:paraId="6026AE01" w14:textId="77777777" w:rsidR="001D563D" w:rsidRPr="00FB4AAA" w:rsidRDefault="001D563D" w:rsidP="00FB4AAA">
      <w:pPr>
        <w:pStyle w:val="Default"/>
        <w:spacing w:line="320" w:lineRule="exact"/>
        <w:jc w:val="both"/>
        <w:rPr>
          <w:rFonts w:asciiTheme="minorHAnsi" w:hAnsiTheme="minorHAnsi" w:cstheme="minorHAnsi"/>
          <w:color w:val="auto"/>
        </w:rPr>
      </w:pPr>
    </w:p>
    <w:p w14:paraId="4BA423D3" w14:textId="167F078B" w:rsidR="001D563D" w:rsidRPr="00FB4AAA" w:rsidRDefault="001D563D" w:rsidP="00FB4AAA">
      <w:pPr>
        <w:pStyle w:val="Default"/>
        <w:spacing w:line="320" w:lineRule="exact"/>
        <w:jc w:val="both"/>
        <w:rPr>
          <w:rFonts w:asciiTheme="minorHAnsi" w:hAnsiTheme="minorHAnsi" w:cstheme="minorHAnsi"/>
          <w:color w:val="auto"/>
        </w:rPr>
      </w:pPr>
      <w:r w:rsidRPr="00FB4AAA">
        <w:rPr>
          <w:rFonts w:asciiTheme="minorHAnsi" w:hAnsiTheme="minorHAnsi" w:cstheme="minorHAnsi"/>
          <w:color w:val="auto"/>
        </w:rPr>
        <w:t>(</w:t>
      </w:r>
      <w:proofErr w:type="spellStart"/>
      <w:r w:rsidRPr="00FB4AAA">
        <w:rPr>
          <w:rFonts w:asciiTheme="minorHAnsi" w:hAnsiTheme="minorHAnsi" w:cstheme="minorHAnsi"/>
          <w:color w:val="auto"/>
        </w:rPr>
        <w:t>ii</w:t>
      </w:r>
      <w:proofErr w:type="spellEnd"/>
      <w:r w:rsidRPr="00FB4AAA">
        <w:rPr>
          <w:rFonts w:asciiTheme="minorHAnsi" w:hAnsiTheme="minorHAnsi" w:cstheme="minorHAnsi"/>
          <w:color w:val="auto"/>
        </w:rPr>
        <w:t xml:space="preserve">) se a operação pretendida poderá, de qualquer forma, limitar a discricionariedade dos colaboradores da Sociedade na análise dos títulos e valores mobiliários e na tomada de decisão de investimentos; e </w:t>
      </w:r>
    </w:p>
    <w:p w14:paraId="46EE5154" w14:textId="77777777" w:rsidR="001D563D" w:rsidRPr="00FB4AAA" w:rsidRDefault="001D563D" w:rsidP="00FB4AAA">
      <w:pPr>
        <w:pStyle w:val="Default"/>
        <w:spacing w:line="320" w:lineRule="exact"/>
        <w:jc w:val="both"/>
        <w:rPr>
          <w:rFonts w:asciiTheme="minorHAnsi" w:hAnsiTheme="minorHAnsi" w:cstheme="minorHAnsi"/>
          <w:color w:val="auto"/>
        </w:rPr>
      </w:pPr>
    </w:p>
    <w:p w14:paraId="45E442E1" w14:textId="117EBD7D" w:rsidR="001D563D" w:rsidRPr="00FB4AAA" w:rsidRDefault="001D563D" w:rsidP="00FB4AAA">
      <w:pPr>
        <w:pStyle w:val="Default"/>
        <w:spacing w:line="320" w:lineRule="exact"/>
        <w:jc w:val="both"/>
        <w:rPr>
          <w:rFonts w:asciiTheme="minorHAnsi" w:hAnsiTheme="minorHAnsi" w:cstheme="minorHAnsi"/>
          <w:color w:val="auto"/>
        </w:rPr>
      </w:pPr>
      <w:r w:rsidRPr="00FB4AAA">
        <w:rPr>
          <w:rFonts w:asciiTheme="minorHAnsi" w:hAnsiTheme="minorHAnsi" w:cstheme="minorHAnsi"/>
          <w:color w:val="auto"/>
        </w:rPr>
        <w:t>(</w:t>
      </w:r>
      <w:proofErr w:type="spellStart"/>
      <w:r w:rsidRPr="00FB4AAA">
        <w:rPr>
          <w:rFonts w:asciiTheme="minorHAnsi" w:hAnsiTheme="minorHAnsi" w:cstheme="minorHAnsi"/>
          <w:color w:val="auto"/>
        </w:rPr>
        <w:t>iii</w:t>
      </w:r>
      <w:proofErr w:type="spellEnd"/>
      <w:r w:rsidRPr="00FB4AAA">
        <w:rPr>
          <w:rFonts w:asciiTheme="minorHAnsi" w:hAnsiTheme="minorHAnsi" w:cstheme="minorHAnsi"/>
          <w:color w:val="auto"/>
        </w:rPr>
        <w:t xml:space="preserve">) reais objetivos da operação pretendida, de modo a assegurar a boa-fé do colaborador da Sociedade e manter a estrita relação fiduciária entre a Sociedade e seus investidores. </w:t>
      </w:r>
    </w:p>
    <w:p w14:paraId="3FB2CBBF" w14:textId="1DFA502C" w:rsidR="001D563D" w:rsidRPr="00FB4AAA" w:rsidRDefault="001D563D" w:rsidP="00FB4AAA">
      <w:pPr>
        <w:pStyle w:val="Default"/>
        <w:spacing w:line="320" w:lineRule="exact"/>
        <w:jc w:val="both"/>
        <w:rPr>
          <w:rFonts w:asciiTheme="minorHAnsi" w:hAnsiTheme="minorHAnsi" w:cstheme="minorHAnsi"/>
          <w:b/>
          <w:bCs/>
          <w:color w:val="auto"/>
        </w:rPr>
      </w:pPr>
    </w:p>
    <w:p w14:paraId="26E272FD" w14:textId="46C54344" w:rsidR="004A23B3" w:rsidRPr="00FB4AAA" w:rsidRDefault="004A23B3" w:rsidP="00FB4AAA">
      <w:pPr>
        <w:pStyle w:val="Default"/>
        <w:spacing w:line="320" w:lineRule="exact"/>
        <w:jc w:val="both"/>
        <w:rPr>
          <w:rFonts w:asciiTheme="minorHAnsi" w:hAnsiTheme="minorHAnsi" w:cstheme="minorHAnsi"/>
          <w:color w:val="auto"/>
        </w:rPr>
      </w:pPr>
      <w:r w:rsidRPr="00FB4AAA">
        <w:rPr>
          <w:rFonts w:asciiTheme="minorHAnsi" w:hAnsiTheme="minorHAnsi" w:cstheme="minorHAnsi"/>
          <w:color w:val="auto"/>
        </w:rPr>
        <w:t>As posições detidas quando do início do vínculo com a Sociedade podem ser mantidas, desde que informadas ao Compliance no ingresso na Sociedade, assim como previamente à sua venda.</w:t>
      </w:r>
    </w:p>
    <w:p w14:paraId="7F5FEC54" w14:textId="77777777" w:rsidR="004A23B3" w:rsidRPr="00FB4AAA" w:rsidRDefault="004A23B3" w:rsidP="00FB4AAA">
      <w:pPr>
        <w:pStyle w:val="Default"/>
        <w:spacing w:line="320" w:lineRule="exact"/>
        <w:jc w:val="both"/>
        <w:rPr>
          <w:rFonts w:asciiTheme="minorHAnsi" w:hAnsiTheme="minorHAnsi" w:cstheme="minorHAnsi"/>
          <w:b/>
          <w:bCs/>
          <w:color w:val="auto"/>
        </w:rPr>
      </w:pPr>
    </w:p>
    <w:p w14:paraId="0FB64D66" w14:textId="3E93953F" w:rsidR="001D563D" w:rsidRPr="00FB4AAA" w:rsidRDefault="001D563D" w:rsidP="00FB4AAA">
      <w:pPr>
        <w:pStyle w:val="Default"/>
        <w:spacing w:line="320" w:lineRule="exact"/>
        <w:jc w:val="both"/>
        <w:rPr>
          <w:rFonts w:asciiTheme="minorHAnsi" w:hAnsiTheme="minorHAnsi" w:cstheme="minorHAnsi"/>
          <w:color w:val="auto"/>
        </w:rPr>
      </w:pPr>
      <w:r w:rsidRPr="00FB4AAA">
        <w:rPr>
          <w:rFonts w:asciiTheme="minorHAnsi" w:hAnsiTheme="minorHAnsi" w:cstheme="minorHAnsi"/>
          <w:b/>
          <w:bCs/>
          <w:color w:val="auto"/>
        </w:rPr>
        <w:t xml:space="preserve">Metodologia para Alocação dos Recursos em Tesouraria: </w:t>
      </w:r>
      <w:r w:rsidRPr="00FB4AAA">
        <w:rPr>
          <w:rFonts w:asciiTheme="minorHAnsi" w:hAnsiTheme="minorHAnsi" w:cstheme="minorHAnsi"/>
          <w:color w:val="auto"/>
        </w:rPr>
        <w:t xml:space="preserve">a Sociedade não tem por escopo a gestão ativa dos recursos em tesouraria. Assim, os recursos em caixa serão mantidos apenas para pagamento de despesas ordinárias e o eventualmente excedente será mantido em moeda corrente, poupança ou fundos de investimento, abstendo-se de efetuar outras aplicações no mercado financeiro e de capitais. </w:t>
      </w:r>
      <w:r w:rsidR="00875D4F" w:rsidRPr="00FB4AAA">
        <w:rPr>
          <w:rFonts w:asciiTheme="minorHAnsi" w:hAnsiTheme="minorHAnsi" w:cstheme="minorHAnsi"/>
          <w:color w:val="auto"/>
        </w:rPr>
        <w:t>Sem prejuízo, as mesmas restrições estabelecidas acima se aplicam para a alocação dos recursos em tesouraria.</w:t>
      </w:r>
    </w:p>
    <w:p w14:paraId="493F3C1F" w14:textId="77777777" w:rsidR="001D563D" w:rsidRPr="00FB4AAA" w:rsidRDefault="001D563D" w:rsidP="00FB4AAA">
      <w:pPr>
        <w:pStyle w:val="Default"/>
        <w:spacing w:line="320" w:lineRule="exact"/>
        <w:jc w:val="both"/>
        <w:rPr>
          <w:rFonts w:asciiTheme="minorHAnsi" w:hAnsiTheme="minorHAnsi" w:cstheme="minorHAnsi"/>
          <w:b/>
          <w:bCs/>
          <w:color w:val="auto"/>
        </w:rPr>
      </w:pPr>
    </w:p>
    <w:p w14:paraId="494B2CAA" w14:textId="021C9AC1" w:rsidR="004A23B3" w:rsidRPr="00FB4AAA" w:rsidRDefault="001D563D" w:rsidP="00FB4AAA">
      <w:pPr>
        <w:pStyle w:val="Default"/>
        <w:spacing w:line="320" w:lineRule="exact"/>
        <w:jc w:val="both"/>
        <w:rPr>
          <w:rFonts w:asciiTheme="minorHAnsi" w:hAnsiTheme="minorHAnsi" w:cstheme="minorHAnsi"/>
          <w:color w:val="auto"/>
        </w:rPr>
      </w:pPr>
      <w:r w:rsidRPr="00FB4AAA">
        <w:rPr>
          <w:rFonts w:asciiTheme="minorHAnsi" w:hAnsiTheme="minorHAnsi" w:cstheme="minorHAnsi"/>
          <w:b/>
          <w:bCs/>
          <w:color w:val="auto"/>
        </w:rPr>
        <w:t xml:space="preserve">Monitoramento: </w:t>
      </w:r>
      <w:r w:rsidRPr="00FB4AAA">
        <w:rPr>
          <w:rFonts w:asciiTheme="minorHAnsi" w:hAnsiTheme="minorHAnsi" w:cstheme="minorHAnsi"/>
          <w:color w:val="auto"/>
        </w:rPr>
        <w:t xml:space="preserve">compete ao </w:t>
      </w:r>
      <w:r w:rsidR="004A23B3" w:rsidRPr="00FB4AAA">
        <w:rPr>
          <w:rFonts w:asciiTheme="minorHAnsi" w:hAnsiTheme="minorHAnsi" w:cstheme="minorHAnsi"/>
          <w:color w:val="auto"/>
        </w:rPr>
        <w:t>C</w:t>
      </w:r>
      <w:r w:rsidRPr="00FB4AAA">
        <w:rPr>
          <w:rFonts w:asciiTheme="minorHAnsi" w:hAnsiTheme="minorHAnsi" w:cstheme="minorHAnsi"/>
          <w:color w:val="auto"/>
        </w:rPr>
        <w:t>ompliance a coleta anual de declarações de conformidade, conforme Anexo I, na qual os colaboradores da Sociedade atestam que os investimentos realizados para a carteira pessoal no âmbito do mercado financeiro e de capitais estão em consonância com as diretrizes estabelecidas pela presente Política.</w:t>
      </w:r>
    </w:p>
    <w:p w14:paraId="07A1553B" w14:textId="77777777" w:rsidR="004A23B3" w:rsidRPr="00FB4AAA" w:rsidRDefault="004A23B3" w:rsidP="00FB4AAA">
      <w:pPr>
        <w:pStyle w:val="Default"/>
        <w:spacing w:line="320" w:lineRule="exact"/>
        <w:jc w:val="both"/>
        <w:rPr>
          <w:rFonts w:asciiTheme="minorHAnsi" w:hAnsiTheme="minorHAnsi" w:cstheme="minorHAnsi"/>
          <w:color w:val="auto"/>
        </w:rPr>
      </w:pPr>
    </w:p>
    <w:p w14:paraId="3AB7E201" w14:textId="07E94A90" w:rsidR="001D563D" w:rsidRPr="00FB4AAA" w:rsidRDefault="004A23B3" w:rsidP="00FB4AAA">
      <w:pPr>
        <w:pStyle w:val="Default"/>
        <w:spacing w:line="320" w:lineRule="exact"/>
        <w:jc w:val="both"/>
        <w:rPr>
          <w:rFonts w:asciiTheme="minorHAnsi" w:hAnsiTheme="minorHAnsi" w:cstheme="minorHAnsi"/>
          <w:color w:val="auto"/>
        </w:rPr>
      </w:pPr>
      <w:r w:rsidRPr="005C23FB">
        <w:rPr>
          <w:rFonts w:asciiTheme="minorHAnsi" w:hAnsiTheme="minorHAnsi" w:cstheme="minorHAnsi"/>
          <w:color w:val="auto"/>
          <w:highlight w:val="yellow"/>
        </w:rPr>
        <w:t>Sem prejuízo, o Compliance</w:t>
      </w:r>
      <w:r w:rsidR="0065354A" w:rsidRPr="005C23FB">
        <w:rPr>
          <w:rFonts w:asciiTheme="minorHAnsi" w:hAnsiTheme="minorHAnsi" w:cstheme="minorHAnsi"/>
          <w:color w:val="auto"/>
          <w:highlight w:val="yellow"/>
        </w:rPr>
        <w:t xml:space="preserve"> poderá</w:t>
      </w:r>
      <w:r w:rsidRPr="005C23FB">
        <w:rPr>
          <w:rFonts w:asciiTheme="minorHAnsi" w:hAnsiTheme="minorHAnsi" w:cstheme="minorHAnsi"/>
          <w:color w:val="auto"/>
          <w:highlight w:val="yellow"/>
        </w:rPr>
        <w:t xml:space="preserve"> solicitar</w:t>
      </w:r>
      <w:r w:rsidR="004E2CEB" w:rsidRPr="005C23FB">
        <w:rPr>
          <w:rFonts w:asciiTheme="minorHAnsi" w:hAnsiTheme="minorHAnsi" w:cstheme="minorHAnsi"/>
          <w:color w:val="auto"/>
          <w:highlight w:val="yellow"/>
        </w:rPr>
        <w:t xml:space="preserve"> </w:t>
      </w:r>
      <w:r w:rsidRPr="005C23FB">
        <w:rPr>
          <w:rFonts w:asciiTheme="minorHAnsi" w:hAnsiTheme="minorHAnsi" w:cstheme="minorHAnsi"/>
          <w:color w:val="auto"/>
          <w:highlight w:val="yellow"/>
        </w:rPr>
        <w:t>aos colaboradores procuração</w:t>
      </w:r>
      <w:r w:rsidR="00EB41EA" w:rsidRPr="005C23FB">
        <w:rPr>
          <w:rFonts w:asciiTheme="minorHAnsi" w:hAnsiTheme="minorHAnsi" w:cstheme="minorHAnsi"/>
          <w:color w:val="auto"/>
          <w:highlight w:val="yellow"/>
        </w:rPr>
        <w:t xml:space="preserve"> </w:t>
      </w:r>
      <w:r w:rsidRPr="005C23FB">
        <w:rPr>
          <w:rFonts w:asciiTheme="minorHAnsi" w:hAnsiTheme="minorHAnsi" w:cstheme="minorHAnsi"/>
          <w:color w:val="auto"/>
          <w:highlight w:val="yellow"/>
        </w:rPr>
        <w:t>para obtenção de extrato das respectivas aplicações junto</w:t>
      </w:r>
      <w:r w:rsidR="00606260" w:rsidRPr="005C23FB">
        <w:rPr>
          <w:rFonts w:asciiTheme="minorHAnsi" w:hAnsiTheme="minorHAnsi" w:cstheme="minorHAnsi"/>
          <w:color w:val="auto"/>
          <w:highlight w:val="yellow"/>
        </w:rPr>
        <w:t xml:space="preserve"> à B3 </w:t>
      </w:r>
      <w:r w:rsidR="00606260" w:rsidRPr="005C23FB">
        <w:rPr>
          <w:rFonts w:asciiTheme="minorHAnsi" w:hAnsiTheme="minorHAnsi" w:cstheme="minorHAnsi"/>
          <w:highlight w:val="yellow"/>
        </w:rPr>
        <w:t>S.A. – Brasil, Bolsa, Balcão</w:t>
      </w:r>
      <w:r w:rsidRPr="005C23FB">
        <w:rPr>
          <w:rFonts w:asciiTheme="minorHAnsi" w:hAnsiTheme="minorHAnsi" w:cstheme="minorHAnsi"/>
          <w:color w:val="auto"/>
          <w:highlight w:val="yellow"/>
        </w:rPr>
        <w:t>. As carteiras d</w:t>
      </w:r>
      <w:r w:rsidR="00D9715D" w:rsidRPr="005C23FB">
        <w:rPr>
          <w:rFonts w:asciiTheme="minorHAnsi" w:hAnsiTheme="minorHAnsi" w:cstheme="minorHAnsi"/>
          <w:color w:val="auto"/>
          <w:highlight w:val="yellow"/>
        </w:rPr>
        <w:t xml:space="preserve">as classes </w:t>
      </w:r>
      <w:r w:rsidRPr="005C23FB">
        <w:rPr>
          <w:rFonts w:asciiTheme="minorHAnsi" w:hAnsiTheme="minorHAnsi" w:cstheme="minorHAnsi"/>
          <w:color w:val="auto"/>
          <w:highlight w:val="yellow"/>
        </w:rPr>
        <w:t>exclusiv</w:t>
      </w:r>
      <w:r w:rsidR="00D9715D" w:rsidRPr="005C23FB">
        <w:rPr>
          <w:rFonts w:asciiTheme="minorHAnsi" w:hAnsiTheme="minorHAnsi" w:cstheme="minorHAnsi"/>
          <w:color w:val="auto"/>
          <w:highlight w:val="yellow"/>
        </w:rPr>
        <w:t>a</w:t>
      </w:r>
      <w:r w:rsidRPr="005C23FB">
        <w:rPr>
          <w:rFonts w:asciiTheme="minorHAnsi" w:hAnsiTheme="minorHAnsi" w:cstheme="minorHAnsi"/>
          <w:color w:val="auto"/>
          <w:highlight w:val="yellow"/>
        </w:rPr>
        <w:t>s/restrit</w:t>
      </w:r>
      <w:r w:rsidR="00D9715D" w:rsidRPr="005C23FB">
        <w:rPr>
          <w:rFonts w:asciiTheme="minorHAnsi" w:hAnsiTheme="minorHAnsi" w:cstheme="minorHAnsi"/>
          <w:color w:val="auto"/>
          <w:highlight w:val="yellow"/>
        </w:rPr>
        <w:t>a</w:t>
      </w:r>
      <w:r w:rsidRPr="005C23FB">
        <w:rPr>
          <w:rFonts w:asciiTheme="minorHAnsi" w:hAnsiTheme="minorHAnsi" w:cstheme="minorHAnsi"/>
          <w:color w:val="auto"/>
          <w:highlight w:val="yellow"/>
        </w:rPr>
        <w:t>s</w:t>
      </w:r>
      <w:r w:rsidR="008F0A3F" w:rsidRPr="005C23FB">
        <w:rPr>
          <w:rFonts w:asciiTheme="minorHAnsi" w:hAnsiTheme="minorHAnsi" w:cstheme="minorHAnsi"/>
          <w:color w:val="auto"/>
          <w:highlight w:val="yellow"/>
        </w:rPr>
        <w:t xml:space="preserve"> informad</w:t>
      </w:r>
      <w:r w:rsidR="00DE5A92" w:rsidRPr="005C23FB">
        <w:rPr>
          <w:rFonts w:asciiTheme="minorHAnsi" w:hAnsiTheme="minorHAnsi" w:cstheme="minorHAnsi"/>
          <w:color w:val="auto"/>
          <w:highlight w:val="yellow"/>
        </w:rPr>
        <w:t>a</w:t>
      </w:r>
      <w:r w:rsidR="008F0A3F" w:rsidRPr="005C23FB">
        <w:rPr>
          <w:rFonts w:asciiTheme="minorHAnsi" w:hAnsiTheme="minorHAnsi" w:cstheme="minorHAnsi"/>
          <w:color w:val="auto"/>
          <w:highlight w:val="yellow"/>
        </w:rPr>
        <w:t>s</w:t>
      </w:r>
      <w:r w:rsidRPr="005C23FB">
        <w:rPr>
          <w:rFonts w:asciiTheme="minorHAnsi" w:hAnsiTheme="minorHAnsi" w:cstheme="minorHAnsi"/>
          <w:color w:val="auto"/>
          <w:highlight w:val="yellow"/>
        </w:rPr>
        <w:t xml:space="preserve"> serão monitoradas por meio das informações disponíveis no site da CVM.</w:t>
      </w:r>
      <w:r w:rsidR="001D563D" w:rsidRPr="00FB4AAA">
        <w:rPr>
          <w:rFonts w:asciiTheme="minorHAnsi" w:hAnsiTheme="minorHAnsi" w:cstheme="minorHAnsi"/>
          <w:color w:val="auto"/>
        </w:rPr>
        <w:t xml:space="preserve"> </w:t>
      </w:r>
    </w:p>
    <w:p w14:paraId="19F25405" w14:textId="77777777" w:rsidR="001D563D" w:rsidRPr="00FB4AAA" w:rsidRDefault="001D563D" w:rsidP="00FB4AAA">
      <w:pPr>
        <w:pStyle w:val="Default"/>
        <w:spacing w:line="320" w:lineRule="exact"/>
        <w:jc w:val="both"/>
        <w:rPr>
          <w:rFonts w:asciiTheme="minorHAnsi" w:hAnsiTheme="minorHAnsi" w:cstheme="minorHAnsi"/>
          <w:b/>
          <w:bCs/>
          <w:color w:val="auto"/>
        </w:rPr>
      </w:pPr>
    </w:p>
    <w:p w14:paraId="4407167D" w14:textId="5CB1494B" w:rsidR="001D563D" w:rsidRPr="00FB4AAA" w:rsidRDefault="001D563D" w:rsidP="00FB4AAA">
      <w:pPr>
        <w:pStyle w:val="Default"/>
        <w:spacing w:line="320" w:lineRule="exact"/>
        <w:jc w:val="both"/>
        <w:rPr>
          <w:rFonts w:asciiTheme="minorHAnsi" w:hAnsiTheme="minorHAnsi" w:cstheme="minorHAnsi"/>
          <w:color w:val="auto"/>
        </w:rPr>
      </w:pPr>
      <w:r w:rsidRPr="00FB4AAA">
        <w:rPr>
          <w:rFonts w:asciiTheme="minorHAnsi" w:hAnsiTheme="minorHAnsi" w:cstheme="minorHAnsi"/>
          <w:b/>
          <w:bCs/>
          <w:color w:val="auto"/>
        </w:rPr>
        <w:t>Manutenção de Arquivos</w:t>
      </w:r>
      <w:r w:rsidRPr="00FB4AAA">
        <w:rPr>
          <w:rFonts w:asciiTheme="minorHAnsi" w:hAnsiTheme="minorHAnsi" w:cstheme="minorHAnsi"/>
          <w:color w:val="auto"/>
        </w:rPr>
        <w:t xml:space="preserve">: o </w:t>
      </w:r>
      <w:r w:rsidR="00D81A92" w:rsidRPr="00FB4AAA">
        <w:rPr>
          <w:rFonts w:asciiTheme="minorHAnsi" w:hAnsiTheme="minorHAnsi" w:cstheme="minorHAnsi"/>
          <w:color w:val="auto"/>
        </w:rPr>
        <w:t>C</w:t>
      </w:r>
      <w:r w:rsidRPr="00FB4AAA">
        <w:rPr>
          <w:rFonts w:asciiTheme="minorHAnsi" w:hAnsiTheme="minorHAnsi" w:cstheme="minorHAnsi"/>
          <w:color w:val="auto"/>
        </w:rPr>
        <w:t xml:space="preserve">ompliance deverá manter arquivados os fundamentos que levaram a autorização de investimentos pessoais em regime de exceção </w:t>
      </w:r>
      <w:r w:rsidR="00D81A92" w:rsidRPr="00FB4AAA">
        <w:rPr>
          <w:rFonts w:asciiTheme="minorHAnsi" w:hAnsiTheme="minorHAnsi" w:cstheme="minorHAnsi"/>
          <w:color w:val="auto"/>
        </w:rPr>
        <w:t>à</w:t>
      </w:r>
      <w:r w:rsidRPr="00FB4AAA">
        <w:rPr>
          <w:rFonts w:asciiTheme="minorHAnsi" w:hAnsiTheme="minorHAnsi" w:cstheme="minorHAnsi"/>
          <w:color w:val="auto"/>
        </w:rPr>
        <w:t xml:space="preserve"> regra geral estabelecida nesta Política, bem como as declarações de conformidade coletadas anualmente, pelo prazo mínimo de 5 (cinco) anos. </w:t>
      </w:r>
    </w:p>
    <w:p w14:paraId="31D1E22D" w14:textId="77777777" w:rsidR="001D563D" w:rsidRPr="00FB4AAA" w:rsidRDefault="001D563D" w:rsidP="00FB4AAA">
      <w:pPr>
        <w:pStyle w:val="Default"/>
        <w:spacing w:line="320" w:lineRule="exact"/>
        <w:jc w:val="center"/>
        <w:rPr>
          <w:rFonts w:asciiTheme="minorHAnsi" w:hAnsiTheme="minorHAnsi" w:cstheme="minorHAnsi"/>
          <w:b/>
          <w:bCs/>
          <w:color w:val="auto"/>
        </w:rPr>
      </w:pPr>
    </w:p>
    <w:p w14:paraId="5BDE988F" w14:textId="77777777" w:rsidR="001D563D" w:rsidRPr="00FB4AAA" w:rsidRDefault="001D563D" w:rsidP="00FB4AAA">
      <w:pPr>
        <w:pStyle w:val="Default"/>
        <w:spacing w:line="320" w:lineRule="exact"/>
        <w:jc w:val="center"/>
        <w:rPr>
          <w:rFonts w:asciiTheme="minorHAnsi" w:hAnsiTheme="minorHAnsi" w:cstheme="minorHAnsi"/>
          <w:b/>
          <w:bCs/>
          <w:color w:val="auto"/>
        </w:rPr>
      </w:pPr>
    </w:p>
    <w:p w14:paraId="29A4B4A8" w14:textId="77777777" w:rsidR="00EC1E7F" w:rsidRPr="00FB4AAA" w:rsidRDefault="00EC1E7F" w:rsidP="00FB4AAA">
      <w:pPr>
        <w:pStyle w:val="Default"/>
        <w:spacing w:line="320" w:lineRule="exact"/>
        <w:jc w:val="center"/>
        <w:rPr>
          <w:rFonts w:asciiTheme="minorHAnsi" w:hAnsiTheme="minorHAnsi" w:cstheme="minorHAnsi"/>
          <w:b/>
          <w:bCs/>
          <w:color w:val="auto"/>
        </w:rPr>
      </w:pPr>
    </w:p>
    <w:p w14:paraId="0A9C6927" w14:textId="7A1C7083" w:rsidR="00EC1E7F" w:rsidRPr="00FB4AAA" w:rsidRDefault="004E2CEB" w:rsidP="00FB4AAA">
      <w:pPr>
        <w:spacing w:line="320" w:lineRule="exact"/>
        <w:jc w:val="center"/>
        <w:rPr>
          <w:rFonts w:asciiTheme="minorHAnsi" w:hAnsiTheme="minorHAnsi" w:cstheme="minorHAnsi"/>
          <w:b/>
          <w:bCs/>
        </w:rPr>
      </w:pPr>
      <w:r w:rsidRPr="00FB4AAA">
        <w:rPr>
          <w:rFonts w:asciiTheme="minorHAnsi" w:hAnsiTheme="minorHAnsi" w:cstheme="minorHAnsi"/>
          <w:b/>
          <w:bCs/>
        </w:rPr>
        <w:br w:type="page"/>
      </w:r>
      <w:r w:rsidR="00EC1E7F" w:rsidRPr="00FB4AAA">
        <w:rPr>
          <w:rFonts w:asciiTheme="minorHAnsi" w:hAnsiTheme="minorHAnsi" w:cstheme="minorHAnsi"/>
          <w:b/>
          <w:bCs/>
        </w:rPr>
        <w:lastRenderedPageBreak/>
        <w:t>Anexo I</w:t>
      </w:r>
    </w:p>
    <w:p w14:paraId="058F9958" w14:textId="77777777" w:rsidR="001D563D" w:rsidRPr="00FB4AAA" w:rsidRDefault="001D563D" w:rsidP="00FB4AAA">
      <w:pPr>
        <w:pStyle w:val="Default"/>
        <w:spacing w:line="320" w:lineRule="exact"/>
        <w:jc w:val="center"/>
        <w:rPr>
          <w:rFonts w:asciiTheme="minorHAnsi" w:hAnsiTheme="minorHAnsi" w:cstheme="minorHAnsi"/>
          <w:b/>
          <w:bCs/>
        </w:rPr>
      </w:pPr>
    </w:p>
    <w:p w14:paraId="70FA6DF4" w14:textId="77777777" w:rsidR="001D563D" w:rsidRPr="00FB4AAA" w:rsidRDefault="001D563D" w:rsidP="00FB4AAA">
      <w:pPr>
        <w:pStyle w:val="Default"/>
        <w:spacing w:line="320" w:lineRule="exact"/>
        <w:jc w:val="center"/>
        <w:rPr>
          <w:rFonts w:asciiTheme="minorHAnsi" w:hAnsiTheme="minorHAnsi" w:cstheme="minorHAnsi"/>
          <w:b/>
          <w:bCs/>
        </w:rPr>
      </w:pPr>
    </w:p>
    <w:p w14:paraId="5EF6823D" w14:textId="008E06BB" w:rsidR="001D563D" w:rsidRPr="00FB4AAA" w:rsidRDefault="001D563D" w:rsidP="00FB4AAA">
      <w:pPr>
        <w:pStyle w:val="Default"/>
        <w:spacing w:line="320" w:lineRule="exact"/>
        <w:jc w:val="center"/>
        <w:rPr>
          <w:rFonts w:asciiTheme="minorHAnsi" w:hAnsiTheme="minorHAnsi" w:cstheme="minorHAnsi"/>
        </w:rPr>
      </w:pPr>
      <w:r w:rsidRPr="00FB4AAA">
        <w:rPr>
          <w:rFonts w:asciiTheme="minorHAnsi" w:hAnsiTheme="minorHAnsi" w:cstheme="minorHAnsi"/>
          <w:b/>
          <w:bCs/>
        </w:rPr>
        <w:t>DECLARAÇÃO</w:t>
      </w:r>
    </w:p>
    <w:p w14:paraId="31EF4D48" w14:textId="63A4EF46" w:rsidR="001D563D" w:rsidRPr="00FB4AAA" w:rsidRDefault="001D563D" w:rsidP="00FB4AAA">
      <w:pPr>
        <w:pStyle w:val="Default"/>
        <w:spacing w:line="320" w:lineRule="exact"/>
        <w:jc w:val="center"/>
        <w:rPr>
          <w:rFonts w:asciiTheme="minorHAnsi" w:hAnsiTheme="minorHAnsi" w:cstheme="minorHAnsi"/>
        </w:rPr>
      </w:pPr>
      <w:r w:rsidRPr="00FB4AAA">
        <w:rPr>
          <w:rFonts w:asciiTheme="minorHAnsi" w:hAnsiTheme="minorHAnsi" w:cstheme="minorHAnsi"/>
          <w:b/>
          <w:bCs/>
        </w:rPr>
        <w:t>POLÍTICA DE INVESTIMENTOS PRÓPRIOS</w:t>
      </w:r>
    </w:p>
    <w:p w14:paraId="52591131" w14:textId="77777777" w:rsidR="001D563D" w:rsidRPr="00FB4AAA" w:rsidRDefault="001D563D" w:rsidP="00FB4AAA">
      <w:pPr>
        <w:pStyle w:val="Default"/>
        <w:spacing w:line="320" w:lineRule="exact"/>
        <w:jc w:val="center"/>
        <w:rPr>
          <w:rFonts w:asciiTheme="minorHAnsi" w:hAnsiTheme="minorHAnsi" w:cstheme="minorHAnsi"/>
        </w:rPr>
      </w:pPr>
    </w:p>
    <w:p w14:paraId="0CB4AC1D" w14:textId="26216AD9" w:rsidR="001D563D" w:rsidRPr="00F90DD4" w:rsidRDefault="001D563D" w:rsidP="00F90DD4">
      <w:pPr>
        <w:spacing w:line="320" w:lineRule="exact"/>
        <w:jc w:val="both"/>
        <w:rPr>
          <w:rFonts w:asciiTheme="minorHAnsi" w:hAnsiTheme="minorHAnsi" w:cstheme="minorHAnsi"/>
          <w:b/>
          <w:caps/>
          <w:color w:val="000000" w:themeColor="text1"/>
          <w:u w:val="single"/>
        </w:rPr>
      </w:pPr>
      <w:r w:rsidRPr="00FB4AAA">
        <w:rPr>
          <w:rFonts w:asciiTheme="minorHAnsi" w:hAnsiTheme="minorHAnsi" w:cstheme="minorHAnsi"/>
        </w:rPr>
        <w:t>Pelo presente, na qualidade de colaborador da</w:t>
      </w:r>
      <w:r w:rsidR="00F90DD4">
        <w:rPr>
          <w:rFonts w:asciiTheme="minorHAnsi" w:hAnsiTheme="minorHAnsi" w:cstheme="minorHAnsi"/>
        </w:rPr>
        <w:t xml:space="preserve"> </w:t>
      </w:r>
      <w:r w:rsidR="00F90DD4" w:rsidRPr="00F90DD4">
        <w:rPr>
          <w:rFonts w:asciiTheme="minorHAnsi" w:hAnsiTheme="minorHAnsi" w:cstheme="minorHAnsi"/>
          <w:b/>
        </w:rPr>
        <w:t>W. ADVISORS - ENGENHARIA FINANCEIRA LTDA</w:t>
      </w:r>
      <w:r w:rsidR="00F90DD4" w:rsidRPr="00F90DD4">
        <w:rPr>
          <w:rFonts w:asciiTheme="minorHAnsi" w:hAnsiTheme="minorHAnsi" w:cstheme="minorHAnsi"/>
          <w:b/>
          <w:bCs/>
          <w:snapToGrid w:val="0"/>
        </w:rPr>
        <w:t>.</w:t>
      </w:r>
      <w:r w:rsidR="00EB41EA">
        <w:rPr>
          <w:rFonts w:asciiTheme="minorHAnsi" w:hAnsiTheme="minorHAnsi" w:cstheme="minorHAnsi"/>
        </w:rPr>
        <w:t xml:space="preserve">, inscrita no CNPJ sob o nº </w:t>
      </w:r>
      <w:r w:rsidR="00F90DD4" w:rsidRPr="00190480">
        <w:rPr>
          <w:rFonts w:ascii="Calibri" w:hAnsi="Calibri" w:cs="Calibri"/>
          <w:bCs/>
        </w:rPr>
        <w:t>09.065.366/0001-13</w:t>
      </w:r>
      <w:r w:rsidRPr="00FB4AAA">
        <w:rPr>
          <w:rFonts w:asciiTheme="minorHAnsi" w:hAnsiTheme="minorHAnsi" w:cstheme="minorHAnsi"/>
        </w:rPr>
        <w:t xml:space="preserve">, serve-se </w:t>
      </w:r>
      <w:r w:rsidR="00EC1E7F" w:rsidRPr="00FB4AAA">
        <w:rPr>
          <w:rFonts w:asciiTheme="minorHAnsi" w:hAnsiTheme="minorHAnsi" w:cstheme="minorHAnsi"/>
        </w:rPr>
        <w:t xml:space="preserve">desta declaração </w:t>
      </w:r>
      <w:r w:rsidRPr="00FB4AAA">
        <w:rPr>
          <w:rFonts w:asciiTheme="minorHAnsi" w:hAnsiTheme="minorHAnsi" w:cstheme="minorHAnsi"/>
        </w:rPr>
        <w:t>para atestar que os seus investimentos pessoais no âmbito do mercado financeiro e de capitais, encontram-se em consonância e dentro dos limites estabelecidos pela Política de Investimentos Próprios (versão</w:t>
      </w:r>
      <w:r w:rsidR="00333A03" w:rsidRPr="00FB4AAA">
        <w:rPr>
          <w:rFonts w:asciiTheme="minorHAnsi" w:hAnsiTheme="minorHAnsi" w:cstheme="minorHAnsi"/>
        </w:rPr>
        <w:t>:</w:t>
      </w:r>
      <w:r w:rsidRPr="00FB4AAA">
        <w:rPr>
          <w:rFonts w:asciiTheme="minorHAnsi" w:hAnsiTheme="minorHAnsi" w:cstheme="minorHAnsi"/>
        </w:rPr>
        <w:t xml:space="preserve"> </w:t>
      </w:r>
      <w:r w:rsidR="00FB4AAA">
        <w:rPr>
          <w:rFonts w:asciiTheme="minorHAnsi" w:hAnsiTheme="minorHAnsi" w:cstheme="minorHAnsi"/>
        </w:rPr>
        <w:t>[MÊS]</w:t>
      </w:r>
      <w:r w:rsidR="00B936BE" w:rsidRPr="00FB4AAA">
        <w:rPr>
          <w:rFonts w:asciiTheme="minorHAnsi" w:hAnsiTheme="minorHAnsi" w:cstheme="minorHAnsi"/>
        </w:rPr>
        <w:t>/</w:t>
      </w:r>
      <w:r w:rsidR="00FB4AAA">
        <w:rPr>
          <w:rFonts w:asciiTheme="minorHAnsi" w:hAnsiTheme="minorHAnsi" w:cstheme="minorHAnsi"/>
        </w:rPr>
        <w:t>[ANO]</w:t>
      </w:r>
      <w:r w:rsidRPr="00FB4AAA">
        <w:rPr>
          <w:rFonts w:asciiTheme="minorHAnsi" w:hAnsiTheme="minorHAnsi" w:cstheme="minorHAnsi"/>
        </w:rPr>
        <w:t>).</w:t>
      </w:r>
    </w:p>
    <w:p w14:paraId="3DF55FB0" w14:textId="77777777" w:rsidR="001D563D" w:rsidRPr="00FB4AAA" w:rsidRDefault="001D563D" w:rsidP="00FB4AAA">
      <w:pPr>
        <w:pStyle w:val="Default"/>
        <w:spacing w:line="320" w:lineRule="exact"/>
        <w:jc w:val="center"/>
        <w:rPr>
          <w:rFonts w:asciiTheme="minorHAnsi" w:hAnsiTheme="minorHAnsi" w:cstheme="minorHAnsi"/>
        </w:rPr>
      </w:pPr>
    </w:p>
    <w:p w14:paraId="7A90BA1B" w14:textId="0B20FB39" w:rsidR="001D563D" w:rsidRPr="00FB4AAA" w:rsidRDefault="00F90DD4" w:rsidP="00FB4AAA">
      <w:pPr>
        <w:pStyle w:val="Default"/>
        <w:spacing w:line="320" w:lineRule="exact"/>
        <w:jc w:val="center"/>
        <w:rPr>
          <w:rFonts w:asciiTheme="minorHAnsi" w:hAnsiTheme="minorHAnsi" w:cstheme="minorHAnsi"/>
        </w:rPr>
      </w:pPr>
      <w:r>
        <w:rPr>
          <w:rFonts w:asciiTheme="minorHAnsi" w:hAnsiTheme="minorHAnsi" w:cstheme="minorHAnsi"/>
        </w:rPr>
        <w:t>Porto Alegre</w:t>
      </w:r>
      <w:r w:rsidR="0083538B" w:rsidRPr="00FB4AAA">
        <w:rPr>
          <w:rFonts w:asciiTheme="minorHAnsi" w:hAnsiTheme="minorHAnsi" w:cstheme="minorHAnsi"/>
        </w:rPr>
        <w:t>, [dia] de [mês] de [ano]</w:t>
      </w:r>
    </w:p>
    <w:p w14:paraId="1E44861B" w14:textId="77777777" w:rsidR="00036741" w:rsidRPr="00FB4AAA" w:rsidRDefault="00036741" w:rsidP="00FB4AAA">
      <w:pPr>
        <w:pStyle w:val="Default"/>
        <w:spacing w:line="320" w:lineRule="exact"/>
        <w:jc w:val="center"/>
        <w:rPr>
          <w:rFonts w:asciiTheme="minorHAnsi" w:hAnsiTheme="minorHAnsi" w:cstheme="minorHAnsi"/>
        </w:rPr>
      </w:pPr>
    </w:p>
    <w:p w14:paraId="7C681BB6" w14:textId="77777777" w:rsidR="00DB3658" w:rsidRPr="00FB4AAA" w:rsidRDefault="00DB3658" w:rsidP="00FB4AAA">
      <w:pPr>
        <w:spacing w:line="320" w:lineRule="exact"/>
        <w:ind w:hanging="5"/>
        <w:jc w:val="center"/>
        <w:rPr>
          <w:rFonts w:asciiTheme="minorHAnsi" w:hAnsiTheme="minorHAnsi" w:cstheme="minorHAnsi"/>
        </w:rPr>
      </w:pPr>
    </w:p>
    <w:p w14:paraId="21FCB508" w14:textId="7587B106" w:rsidR="004E2CEB" w:rsidRPr="00FB4AAA" w:rsidRDefault="00DB3658" w:rsidP="00FB4AAA">
      <w:pPr>
        <w:spacing w:line="320" w:lineRule="exact"/>
        <w:ind w:hanging="5"/>
        <w:jc w:val="center"/>
        <w:rPr>
          <w:rFonts w:asciiTheme="minorHAnsi" w:hAnsiTheme="minorHAnsi" w:cstheme="minorHAnsi"/>
        </w:rPr>
      </w:pPr>
      <w:r w:rsidRPr="00FB4AAA">
        <w:rPr>
          <w:rFonts w:asciiTheme="minorHAnsi" w:hAnsiTheme="minorHAnsi" w:cstheme="minorHAnsi"/>
        </w:rPr>
        <w:t>____________________________________</w:t>
      </w:r>
      <w:r w:rsidRPr="00FB4AAA" w:rsidDel="00DB3658">
        <w:rPr>
          <w:rFonts w:asciiTheme="minorHAnsi" w:hAnsiTheme="minorHAnsi" w:cstheme="minorHAnsi"/>
        </w:rPr>
        <w:t xml:space="preserve"> </w:t>
      </w:r>
      <w:r w:rsidRPr="00FB4AAA">
        <w:rPr>
          <w:rFonts w:asciiTheme="minorHAnsi" w:hAnsiTheme="minorHAnsi" w:cstheme="minorHAnsi"/>
        </w:rPr>
        <w:br/>
      </w:r>
      <w:r w:rsidR="001D563D" w:rsidRPr="00FB4AAA">
        <w:rPr>
          <w:rFonts w:asciiTheme="minorHAnsi" w:hAnsiTheme="minorHAnsi" w:cstheme="minorHAnsi"/>
        </w:rPr>
        <w:t xml:space="preserve">[NOME DO COLABORADOR] </w:t>
      </w:r>
    </w:p>
    <w:p w14:paraId="4F71D650" w14:textId="6D644EDE" w:rsidR="004E2CEB" w:rsidRPr="00FB4AAA" w:rsidRDefault="004E2CEB" w:rsidP="00FB4AAA">
      <w:pPr>
        <w:spacing w:line="320" w:lineRule="exact"/>
        <w:rPr>
          <w:rFonts w:asciiTheme="minorHAnsi" w:hAnsiTheme="minorHAnsi" w:cstheme="minorHAnsi"/>
        </w:rPr>
      </w:pPr>
    </w:p>
    <w:sectPr w:rsidR="004E2CEB" w:rsidRPr="00FB4AAA" w:rsidSect="00FB4AAA">
      <w:footerReference w:type="default" r:id="rId7"/>
      <w:pgSz w:w="11906" w:h="16838"/>
      <w:pgMar w:top="567" w:right="707" w:bottom="1417"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58BC2" w14:textId="77777777" w:rsidR="00186534" w:rsidRDefault="00186534" w:rsidP="00186534">
      <w:r>
        <w:separator/>
      </w:r>
    </w:p>
  </w:endnote>
  <w:endnote w:type="continuationSeparator" w:id="0">
    <w:p w14:paraId="4A09A36D" w14:textId="77777777" w:rsidR="00186534" w:rsidRDefault="00186534" w:rsidP="00186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940448"/>
      <w:docPartObj>
        <w:docPartGallery w:val="Page Numbers (Bottom of Page)"/>
        <w:docPartUnique/>
      </w:docPartObj>
    </w:sdtPr>
    <w:sdtEndPr/>
    <w:sdtContent>
      <w:p w14:paraId="7200C788" w14:textId="785A180A" w:rsidR="00DB5AB0" w:rsidRDefault="00DB5AB0">
        <w:pPr>
          <w:pStyle w:val="Rodap"/>
          <w:jc w:val="right"/>
        </w:pPr>
        <w:r>
          <w:fldChar w:fldCharType="begin"/>
        </w:r>
        <w:r>
          <w:instrText>PAGE   \* MERGEFORMAT</w:instrText>
        </w:r>
        <w:r>
          <w:fldChar w:fldCharType="separate"/>
        </w:r>
        <w:r w:rsidR="00E31BAC">
          <w:rPr>
            <w:noProof/>
          </w:rPr>
          <w:t>1</w:t>
        </w:r>
        <w:r>
          <w:fldChar w:fldCharType="end"/>
        </w:r>
      </w:p>
    </w:sdtContent>
  </w:sdt>
  <w:p w14:paraId="62D66A27" w14:textId="5502F995" w:rsidR="00333A03" w:rsidRPr="00FB4AAA" w:rsidRDefault="00DB5AB0" w:rsidP="00DB5AB0">
    <w:pPr>
      <w:pStyle w:val="Default"/>
      <w:jc w:val="both"/>
      <w:rPr>
        <w:rFonts w:asciiTheme="minorHAnsi" w:hAnsiTheme="minorHAnsi" w:cstheme="minorHAnsi"/>
        <w:color w:val="auto"/>
        <w:sz w:val="20"/>
        <w:szCs w:val="20"/>
      </w:rPr>
    </w:pPr>
    <w:r w:rsidRPr="00FB4AAA">
      <w:rPr>
        <w:rFonts w:asciiTheme="minorHAnsi" w:hAnsiTheme="minorHAnsi" w:cstheme="minorHAnsi"/>
        <w:color w:val="auto"/>
        <w:sz w:val="20"/>
        <w:szCs w:val="20"/>
      </w:rPr>
      <w:t xml:space="preserve">Versão Vigente: </w:t>
    </w:r>
    <w:r w:rsidR="00F90DD4" w:rsidRPr="00F90DD4">
      <w:rPr>
        <w:rFonts w:asciiTheme="minorHAnsi" w:hAnsiTheme="minorHAnsi" w:cstheme="minorHAnsi"/>
        <w:color w:val="auto"/>
        <w:sz w:val="20"/>
        <w:szCs w:val="20"/>
        <w:highlight w:val="yellow"/>
      </w:rPr>
      <w:t>13/06</w:t>
    </w:r>
    <w:r w:rsidR="00F90DD4">
      <w:rPr>
        <w:rFonts w:asciiTheme="minorHAnsi" w:hAnsiTheme="minorHAnsi" w:cstheme="minorHAnsi"/>
        <w:color w:val="auto"/>
        <w:sz w:val="20"/>
        <w:szCs w:val="20"/>
      </w:rPr>
      <w:t>/2026</w:t>
    </w:r>
  </w:p>
  <w:p w14:paraId="459DA251" w14:textId="62864532" w:rsidR="00DB5AB0" w:rsidRPr="00FB4AAA" w:rsidRDefault="00333A03" w:rsidP="00DB5AB0">
    <w:pPr>
      <w:pStyle w:val="Default"/>
      <w:jc w:val="both"/>
      <w:rPr>
        <w:rFonts w:asciiTheme="minorHAnsi" w:hAnsiTheme="minorHAnsi" w:cstheme="minorHAnsi"/>
        <w:color w:val="auto"/>
        <w:sz w:val="20"/>
        <w:szCs w:val="20"/>
      </w:rPr>
    </w:pPr>
    <w:r w:rsidRPr="00FB4AAA">
      <w:rPr>
        <w:rFonts w:asciiTheme="minorHAnsi" w:hAnsiTheme="minorHAnsi" w:cstheme="minorHAnsi"/>
        <w:color w:val="auto"/>
        <w:sz w:val="20"/>
        <w:szCs w:val="20"/>
      </w:rPr>
      <w:t xml:space="preserve">Versão Anterior: </w:t>
    </w:r>
    <w:r w:rsidR="00FB4AAA" w:rsidRPr="00FB4AAA">
      <w:rPr>
        <w:rFonts w:asciiTheme="minorHAnsi" w:hAnsiTheme="minorHAnsi" w:cstheme="minorHAnsi"/>
        <w:color w:val="auto"/>
        <w:sz w:val="20"/>
        <w:szCs w:val="20"/>
        <w:highlight w:val="yellow"/>
      </w:rPr>
      <w:t>[definir]</w:t>
    </w:r>
  </w:p>
  <w:p w14:paraId="7D987344" w14:textId="32026985" w:rsidR="00186534" w:rsidRPr="006353FF" w:rsidRDefault="00186534" w:rsidP="00DB5AB0">
    <w:pPr>
      <w:pStyle w:val="Rodap"/>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4712E" w14:textId="77777777" w:rsidR="00186534" w:rsidRDefault="00186534" w:rsidP="00186534">
      <w:r>
        <w:separator/>
      </w:r>
    </w:p>
  </w:footnote>
  <w:footnote w:type="continuationSeparator" w:id="0">
    <w:p w14:paraId="5F835455" w14:textId="77777777" w:rsidR="00186534" w:rsidRDefault="00186534" w:rsidP="001865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E5E"/>
    <w:rsid w:val="00017AAC"/>
    <w:rsid w:val="000266AF"/>
    <w:rsid w:val="00036741"/>
    <w:rsid w:val="000C5589"/>
    <w:rsid w:val="0015704F"/>
    <w:rsid w:val="00186534"/>
    <w:rsid w:val="001D1085"/>
    <w:rsid w:val="001D563D"/>
    <w:rsid w:val="002C4CC5"/>
    <w:rsid w:val="002D742C"/>
    <w:rsid w:val="002E1DF6"/>
    <w:rsid w:val="00333A03"/>
    <w:rsid w:val="0036606C"/>
    <w:rsid w:val="003727C3"/>
    <w:rsid w:val="003F2BB3"/>
    <w:rsid w:val="004A23B3"/>
    <w:rsid w:val="004E2CEB"/>
    <w:rsid w:val="004F04A8"/>
    <w:rsid w:val="0050698F"/>
    <w:rsid w:val="00513249"/>
    <w:rsid w:val="00566BDE"/>
    <w:rsid w:val="00577880"/>
    <w:rsid w:val="00577A40"/>
    <w:rsid w:val="005C23FB"/>
    <w:rsid w:val="005E3809"/>
    <w:rsid w:val="00606260"/>
    <w:rsid w:val="006353FF"/>
    <w:rsid w:val="0065354A"/>
    <w:rsid w:val="006805CD"/>
    <w:rsid w:val="00690EA0"/>
    <w:rsid w:val="006D2A17"/>
    <w:rsid w:val="006F48FA"/>
    <w:rsid w:val="00713D6C"/>
    <w:rsid w:val="00753EF6"/>
    <w:rsid w:val="007834CA"/>
    <w:rsid w:val="007F3A77"/>
    <w:rsid w:val="0083538B"/>
    <w:rsid w:val="00875D4F"/>
    <w:rsid w:val="008D7736"/>
    <w:rsid w:val="008F0A3F"/>
    <w:rsid w:val="00905B3B"/>
    <w:rsid w:val="0094436D"/>
    <w:rsid w:val="00963E5E"/>
    <w:rsid w:val="009667C3"/>
    <w:rsid w:val="00983A87"/>
    <w:rsid w:val="00991C1B"/>
    <w:rsid w:val="009A7B8E"/>
    <w:rsid w:val="00A06D92"/>
    <w:rsid w:val="00A4739E"/>
    <w:rsid w:val="00A77833"/>
    <w:rsid w:val="00A86EFF"/>
    <w:rsid w:val="00AD2D65"/>
    <w:rsid w:val="00B47C60"/>
    <w:rsid w:val="00B936BE"/>
    <w:rsid w:val="00C52406"/>
    <w:rsid w:val="00C53BD6"/>
    <w:rsid w:val="00C777CB"/>
    <w:rsid w:val="00D5594D"/>
    <w:rsid w:val="00D81A92"/>
    <w:rsid w:val="00D9715D"/>
    <w:rsid w:val="00DB3658"/>
    <w:rsid w:val="00DB5AB0"/>
    <w:rsid w:val="00DC6191"/>
    <w:rsid w:val="00DD47C5"/>
    <w:rsid w:val="00DE5A92"/>
    <w:rsid w:val="00E16DCF"/>
    <w:rsid w:val="00E30261"/>
    <w:rsid w:val="00E31BAC"/>
    <w:rsid w:val="00E56F95"/>
    <w:rsid w:val="00EB41EA"/>
    <w:rsid w:val="00EC1E7F"/>
    <w:rsid w:val="00F46DAE"/>
    <w:rsid w:val="00F90DD4"/>
    <w:rsid w:val="00FB4AAA"/>
    <w:rsid w:val="00FD405E"/>
    <w:rsid w:val="00FE480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14D364D"/>
  <w15:docId w15:val="{661C7DDE-8E1A-43BB-854B-07E96CB91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3E5E"/>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INDENT2">
    <w:name w:val="INDENT 2"/>
    <w:rsid w:val="00963E5E"/>
    <w:pPr>
      <w:spacing w:after="0" w:line="240" w:lineRule="auto"/>
      <w:jc w:val="both"/>
    </w:pPr>
    <w:rPr>
      <w:rFonts w:ascii="Times New Roman" w:eastAsia="Times New Roman" w:hAnsi="Times New Roman" w:cs="Times New Roman"/>
      <w:color w:val="000000"/>
      <w:sz w:val="24"/>
      <w:szCs w:val="20"/>
      <w:lang w:val="en-US" w:eastAsia="pt-BR"/>
    </w:rPr>
  </w:style>
  <w:style w:type="character" w:styleId="Hyperlink">
    <w:name w:val="Hyperlink"/>
    <w:basedOn w:val="Fontepargpadro"/>
    <w:uiPriority w:val="99"/>
    <w:unhideWhenUsed/>
    <w:rsid w:val="006805CD"/>
    <w:rPr>
      <w:color w:val="0563C1" w:themeColor="hyperlink"/>
      <w:u w:val="single"/>
    </w:rPr>
  </w:style>
  <w:style w:type="character" w:styleId="Refdecomentrio">
    <w:name w:val="annotation reference"/>
    <w:basedOn w:val="Fontepargpadro"/>
    <w:uiPriority w:val="99"/>
    <w:semiHidden/>
    <w:unhideWhenUsed/>
    <w:rsid w:val="003F2BB3"/>
    <w:rPr>
      <w:sz w:val="16"/>
      <w:szCs w:val="16"/>
    </w:rPr>
  </w:style>
  <w:style w:type="paragraph" w:styleId="Textodecomentrio">
    <w:name w:val="annotation text"/>
    <w:basedOn w:val="Normal"/>
    <w:link w:val="TextodecomentrioChar"/>
    <w:uiPriority w:val="99"/>
    <w:semiHidden/>
    <w:unhideWhenUsed/>
    <w:rsid w:val="003F2BB3"/>
    <w:rPr>
      <w:sz w:val="20"/>
      <w:szCs w:val="20"/>
    </w:rPr>
  </w:style>
  <w:style w:type="character" w:customStyle="1" w:styleId="TextodecomentrioChar">
    <w:name w:val="Texto de comentário Char"/>
    <w:basedOn w:val="Fontepargpadro"/>
    <w:link w:val="Textodecomentrio"/>
    <w:uiPriority w:val="99"/>
    <w:semiHidden/>
    <w:rsid w:val="003F2BB3"/>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3F2BB3"/>
    <w:rPr>
      <w:b/>
      <w:bCs/>
    </w:rPr>
  </w:style>
  <w:style w:type="character" w:customStyle="1" w:styleId="AssuntodocomentrioChar">
    <w:name w:val="Assunto do comentário Char"/>
    <w:basedOn w:val="TextodecomentrioChar"/>
    <w:link w:val="Assuntodocomentrio"/>
    <w:uiPriority w:val="99"/>
    <w:semiHidden/>
    <w:rsid w:val="003F2BB3"/>
    <w:rPr>
      <w:rFonts w:ascii="Times New Roman" w:eastAsia="Times New Roman" w:hAnsi="Times New Roman" w:cs="Times New Roman"/>
      <w:b/>
      <w:bCs/>
      <w:sz w:val="20"/>
      <w:szCs w:val="20"/>
      <w:lang w:eastAsia="pt-BR"/>
    </w:rPr>
  </w:style>
  <w:style w:type="paragraph" w:styleId="Textodebalo">
    <w:name w:val="Balloon Text"/>
    <w:basedOn w:val="Normal"/>
    <w:link w:val="TextodebaloChar"/>
    <w:uiPriority w:val="99"/>
    <w:semiHidden/>
    <w:unhideWhenUsed/>
    <w:rsid w:val="003F2BB3"/>
    <w:rPr>
      <w:rFonts w:ascii="Tahoma" w:hAnsi="Tahoma" w:cs="Tahoma"/>
      <w:sz w:val="16"/>
      <w:szCs w:val="16"/>
    </w:rPr>
  </w:style>
  <w:style w:type="character" w:customStyle="1" w:styleId="TextodebaloChar">
    <w:name w:val="Texto de balão Char"/>
    <w:basedOn w:val="Fontepargpadro"/>
    <w:link w:val="Textodebalo"/>
    <w:uiPriority w:val="99"/>
    <w:semiHidden/>
    <w:rsid w:val="003F2BB3"/>
    <w:rPr>
      <w:rFonts w:ascii="Tahoma" w:eastAsia="Times New Roman" w:hAnsi="Tahoma" w:cs="Tahoma"/>
      <w:sz w:val="16"/>
      <w:szCs w:val="16"/>
      <w:lang w:eastAsia="pt-BR"/>
    </w:rPr>
  </w:style>
  <w:style w:type="paragraph" w:customStyle="1" w:styleId="Default">
    <w:name w:val="Default"/>
    <w:rsid w:val="001D563D"/>
    <w:pPr>
      <w:autoSpaceDE w:val="0"/>
      <w:autoSpaceDN w:val="0"/>
      <w:adjustRightInd w:val="0"/>
      <w:spacing w:after="0" w:line="240" w:lineRule="auto"/>
    </w:pPr>
    <w:rPr>
      <w:rFonts w:ascii="Times New Roman" w:hAnsi="Times New Roman" w:cs="Times New Roman"/>
      <w:color w:val="000000"/>
      <w:sz w:val="24"/>
      <w:szCs w:val="24"/>
    </w:rPr>
  </w:style>
  <w:style w:type="paragraph" w:styleId="Cabealho">
    <w:name w:val="header"/>
    <w:basedOn w:val="Normal"/>
    <w:link w:val="CabealhoChar"/>
    <w:uiPriority w:val="99"/>
    <w:unhideWhenUsed/>
    <w:rsid w:val="00186534"/>
    <w:pPr>
      <w:tabs>
        <w:tab w:val="center" w:pos="4252"/>
        <w:tab w:val="right" w:pos="8504"/>
      </w:tabs>
    </w:pPr>
  </w:style>
  <w:style w:type="character" w:customStyle="1" w:styleId="CabealhoChar">
    <w:name w:val="Cabeçalho Char"/>
    <w:basedOn w:val="Fontepargpadro"/>
    <w:link w:val="Cabealho"/>
    <w:uiPriority w:val="99"/>
    <w:rsid w:val="00186534"/>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186534"/>
    <w:pPr>
      <w:tabs>
        <w:tab w:val="center" w:pos="4252"/>
        <w:tab w:val="right" w:pos="8504"/>
      </w:tabs>
    </w:pPr>
  </w:style>
  <w:style w:type="character" w:customStyle="1" w:styleId="RodapChar">
    <w:name w:val="Rodapé Char"/>
    <w:basedOn w:val="Fontepargpadro"/>
    <w:link w:val="Rodap"/>
    <w:uiPriority w:val="99"/>
    <w:rsid w:val="00186534"/>
    <w:rPr>
      <w:rFonts w:ascii="Times New Roman" w:eastAsia="Times New Roman" w:hAnsi="Times New Roman" w:cs="Times New Roman"/>
      <w:sz w:val="24"/>
      <w:szCs w:val="24"/>
      <w:lang w:eastAsia="pt-BR"/>
    </w:rPr>
  </w:style>
  <w:style w:type="paragraph" w:styleId="Reviso">
    <w:name w:val="Revision"/>
    <w:hidden/>
    <w:uiPriority w:val="99"/>
    <w:semiHidden/>
    <w:rsid w:val="006353FF"/>
    <w:pPr>
      <w:spacing w:after="0"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1"/>
    <w:qFormat/>
    <w:rsid w:val="00333A03"/>
    <w:pPr>
      <w:widowControl w:val="0"/>
      <w:autoSpaceDE w:val="0"/>
      <w:autoSpaceDN w:val="0"/>
      <w:ind w:left="826" w:hanging="709"/>
      <w:jc w:val="both"/>
    </w:pPr>
    <w:rPr>
      <w:rFonts w:ascii="Calibri" w:eastAsia="Calibri" w:hAnsi="Calibri" w:cs="Calibri"/>
      <w:sz w:val="22"/>
      <w:szCs w:val="22"/>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1222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B65F04-4D8F-4235-BCD2-77B49D552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794</Words>
  <Characters>4291</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 Pitta</dc:creator>
  <cp:lastModifiedBy>Benzecry e Pitta Advocacia Especializada</cp:lastModifiedBy>
  <cp:revision>4</cp:revision>
  <cp:lastPrinted>2022-09-02T21:35:00Z</cp:lastPrinted>
  <dcterms:created xsi:type="dcterms:W3CDTF">2026-06-13T14:15:00Z</dcterms:created>
  <dcterms:modified xsi:type="dcterms:W3CDTF">2026-06-14T12:21:00Z</dcterms:modified>
</cp:coreProperties>
</file>