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71245" w14:textId="79BDA1D6" w:rsidR="00D15E67" w:rsidRPr="00EF6ACA" w:rsidRDefault="00D15E67" w:rsidP="00EF6ACA">
      <w:pPr>
        <w:spacing w:after="0" w:line="320" w:lineRule="exact"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EF6ACA">
        <w:rPr>
          <w:rFonts w:ascii="Calibri" w:hAnsi="Calibri" w:cs="Calibri"/>
          <w:b/>
          <w:sz w:val="24"/>
          <w:szCs w:val="24"/>
          <w:u w:val="single"/>
        </w:rPr>
        <w:t>POLÍTICA DE RATEIO E DIVISÃO DE ORDENS</w:t>
      </w:r>
    </w:p>
    <w:p w14:paraId="5904B642" w14:textId="645F6165" w:rsidR="00D15E67" w:rsidRPr="00EF6ACA" w:rsidRDefault="00EF6ACA" w:rsidP="00EF6ACA">
      <w:pPr>
        <w:spacing w:after="0" w:line="320" w:lineRule="exact"/>
        <w:jc w:val="center"/>
        <w:rPr>
          <w:rFonts w:ascii="Calibri" w:hAnsi="Calibri" w:cs="Calibri"/>
          <w:b/>
          <w:caps/>
          <w:color w:val="000000" w:themeColor="text1"/>
          <w:sz w:val="24"/>
          <w:szCs w:val="24"/>
          <w:u w:val="single"/>
        </w:rPr>
      </w:pPr>
      <w:bookmarkStart w:id="0" w:name="_Hlk149657295"/>
      <w:r w:rsidRPr="00EF6ACA">
        <w:rPr>
          <w:rFonts w:ascii="Calibri" w:hAnsi="Calibri" w:cs="Calibri"/>
          <w:b/>
          <w:sz w:val="24"/>
          <w:szCs w:val="24"/>
          <w:u w:val="single"/>
        </w:rPr>
        <w:t>W. ADVISORS – ENGENHARIA FINANCEIRA LTDA.</w:t>
      </w:r>
      <w:bookmarkEnd w:id="0"/>
    </w:p>
    <w:p w14:paraId="24D0EFF9" w14:textId="77777777" w:rsidR="00D15E67" w:rsidRPr="00EF6ACA" w:rsidRDefault="00D15E67" w:rsidP="00EF6ACA">
      <w:pPr>
        <w:spacing w:after="0" w:line="320" w:lineRule="exact"/>
        <w:jc w:val="center"/>
        <w:rPr>
          <w:rFonts w:ascii="Calibri" w:hAnsi="Calibri" w:cs="Calibri"/>
          <w:sz w:val="24"/>
          <w:szCs w:val="24"/>
        </w:rPr>
      </w:pPr>
      <w:r w:rsidRPr="00EF6ACA">
        <w:rPr>
          <w:rFonts w:ascii="Calibri" w:hAnsi="Calibri" w:cs="Calibri"/>
          <w:sz w:val="24"/>
          <w:szCs w:val="24"/>
        </w:rPr>
        <w:t>(“Sociedade”)</w:t>
      </w:r>
    </w:p>
    <w:p w14:paraId="7E92EFCE" w14:textId="77777777" w:rsidR="00D15E67" w:rsidRPr="00EF6ACA" w:rsidRDefault="00D15E67" w:rsidP="00EF6ACA">
      <w:pPr>
        <w:spacing w:after="0" w:line="320" w:lineRule="exact"/>
        <w:jc w:val="right"/>
        <w:rPr>
          <w:rFonts w:ascii="Calibri" w:hAnsi="Calibri" w:cs="Calibri"/>
          <w:b/>
          <w:sz w:val="24"/>
          <w:szCs w:val="24"/>
        </w:rPr>
      </w:pPr>
    </w:p>
    <w:p w14:paraId="2A701561" w14:textId="77777777" w:rsidR="00D15E67" w:rsidRPr="00EF6ACA" w:rsidRDefault="00D15E67" w:rsidP="00EF6ACA">
      <w:pPr>
        <w:spacing w:after="0" w:line="320" w:lineRule="exact"/>
        <w:jc w:val="both"/>
        <w:rPr>
          <w:rFonts w:ascii="Calibri" w:hAnsi="Calibri" w:cs="Calibri"/>
          <w:bCs/>
          <w:sz w:val="24"/>
          <w:szCs w:val="24"/>
        </w:rPr>
      </w:pPr>
    </w:p>
    <w:p w14:paraId="28F0E954" w14:textId="60D1BA55" w:rsidR="00D15E67" w:rsidRPr="00EF6ACA" w:rsidRDefault="000820E4" w:rsidP="00EF6ACA">
      <w:pPr>
        <w:spacing w:after="0" w:line="320" w:lineRule="exact"/>
        <w:jc w:val="center"/>
        <w:rPr>
          <w:rFonts w:ascii="Calibri" w:hAnsi="Calibri" w:cs="Calibri"/>
          <w:b/>
          <w:bCs/>
          <w:sz w:val="24"/>
          <w:szCs w:val="24"/>
        </w:rPr>
      </w:pPr>
      <w:r w:rsidRPr="00EF6ACA">
        <w:rPr>
          <w:rFonts w:ascii="Calibri" w:hAnsi="Calibri" w:cs="Calibri"/>
          <w:b/>
          <w:bCs/>
          <w:sz w:val="24"/>
          <w:szCs w:val="24"/>
        </w:rPr>
        <w:t>CAPÍTULO I</w:t>
      </w:r>
    </w:p>
    <w:p w14:paraId="3D34131B" w14:textId="4E09B518" w:rsidR="00D15E67" w:rsidRPr="00EF6ACA" w:rsidRDefault="000820E4" w:rsidP="00EF6ACA">
      <w:pPr>
        <w:spacing w:after="0" w:line="320" w:lineRule="exact"/>
        <w:jc w:val="center"/>
        <w:rPr>
          <w:rFonts w:ascii="Calibri" w:hAnsi="Calibri" w:cs="Calibri"/>
          <w:b/>
          <w:bCs/>
          <w:sz w:val="24"/>
          <w:szCs w:val="24"/>
        </w:rPr>
      </w:pPr>
      <w:r w:rsidRPr="00EF6ACA">
        <w:rPr>
          <w:rFonts w:ascii="Calibri" w:hAnsi="Calibri" w:cs="Calibri"/>
          <w:b/>
          <w:bCs/>
          <w:sz w:val="24"/>
          <w:szCs w:val="24"/>
        </w:rPr>
        <w:t>OBJETIVO E ABRANGÊNCIA</w:t>
      </w:r>
    </w:p>
    <w:p w14:paraId="5C1B025D" w14:textId="77777777" w:rsidR="00D15E67" w:rsidRPr="00EF6ACA" w:rsidRDefault="00D15E67" w:rsidP="00EF6ACA">
      <w:pPr>
        <w:spacing w:after="0" w:line="320" w:lineRule="exact"/>
        <w:jc w:val="both"/>
        <w:rPr>
          <w:rFonts w:ascii="Calibri" w:hAnsi="Calibri" w:cs="Calibri"/>
          <w:sz w:val="24"/>
          <w:szCs w:val="24"/>
        </w:rPr>
      </w:pPr>
    </w:p>
    <w:p w14:paraId="5DD142F0" w14:textId="3861790B" w:rsidR="00D15E67" w:rsidRPr="00EF6ACA" w:rsidRDefault="00952A1A" w:rsidP="00EF6ACA">
      <w:pPr>
        <w:spacing w:after="0" w:line="320" w:lineRule="exact"/>
        <w:jc w:val="both"/>
        <w:rPr>
          <w:rFonts w:ascii="Calibri" w:hAnsi="Calibri" w:cs="Calibri"/>
          <w:sz w:val="24"/>
          <w:szCs w:val="24"/>
        </w:rPr>
      </w:pPr>
      <w:r w:rsidRPr="00EF6ACA">
        <w:rPr>
          <w:rFonts w:ascii="Calibri" w:hAnsi="Calibri" w:cs="Calibri"/>
          <w:sz w:val="24"/>
          <w:szCs w:val="24"/>
        </w:rPr>
        <w:t xml:space="preserve">1.1. </w:t>
      </w:r>
      <w:r w:rsidR="0039355D" w:rsidRPr="00EF6ACA">
        <w:rPr>
          <w:rFonts w:ascii="Calibri" w:hAnsi="Calibri" w:cs="Calibri"/>
          <w:sz w:val="24"/>
          <w:szCs w:val="24"/>
        </w:rPr>
        <w:t xml:space="preserve">A presente Política tem por objetivo a formalização de critérios equitativos, preestabelecidos e passíveis de verificação, para o controle de rateio e divisão de ordens entre </w:t>
      </w:r>
      <w:r w:rsidR="00AF38A4" w:rsidRPr="00EF6ACA">
        <w:rPr>
          <w:rFonts w:ascii="Calibri" w:hAnsi="Calibri" w:cs="Calibri"/>
          <w:sz w:val="24"/>
          <w:szCs w:val="24"/>
        </w:rPr>
        <w:t>as</w:t>
      </w:r>
      <w:r w:rsidR="00EF6ACA" w:rsidRPr="00EF6ACA">
        <w:rPr>
          <w:rFonts w:ascii="Calibri" w:hAnsi="Calibri" w:cs="Calibri"/>
          <w:sz w:val="24"/>
          <w:szCs w:val="24"/>
        </w:rPr>
        <w:t xml:space="preserve"> carteiras sob gestão da Sociedade</w:t>
      </w:r>
      <w:r w:rsidR="0039355D" w:rsidRPr="00EF6ACA">
        <w:rPr>
          <w:rFonts w:ascii="Calibri" w:hAnsi="Calibri" w:cs="Calibri"/>
          <w:sz w:val="24"/>
          <w:szCs w:val="24"/>
        </w:rPr>
        <w:t>.</w:t>
      </w:r>
    </w:p>
    <w:p w14:paraId="4688595B" w14:textId="06A4571F" w:rsidR="00CB369E" w:rsidRPr="00EF6ACA" w:rsidRDefault="00CB369E" w:rsidP="00EF6ACA">
      <w:pPr>
        <w:spacing w:after="0" w:line="320" w:lineRule="exact"/>
        <w:jc w:val="both"/>
        <w:rPr>
          <w:rFonts w:ascii="Calibri" w:hAnsi="Calibri" w:cs="Calibri"/>
          <w:sz w:val="24"/>
          <w:szCs w:val="24"/>
        </w:rPr>
      </w:pPr>
    </w:p>
    <w:p w14:paraId="55C52189" w14:textId="5F83BA44" w:rsidR="00CB369E" w:rsidRPr="00EF6ACA" w:rsidRDefault="00952A1A" w:rsidP="00EF6ACA">
      <w:pPr>
        <w:spacing w:after="0" w:line="320" w:lineRule="exact"/>
        <w:jc w:val="both"/>
        <w:rPr>
          <w:rFonts w:ascii="Calibri" w:eastAsia="Times New Roman" w:hAnsi="Calibri" w:cs="Calibri"/>
          <w:sz w:val="24"/>
          <w:szCs w:val="24"/>
        </w:rPr>
      </w:pPr>
      <w:r w:rsidRPr="00EF6ACA">
        <w:rPr>
          <w:rFonts w:ascii="Calibri" w:hAnsi="Calibri" w:cs="Calibri"/>
          <w:sz w:val="24"/>
          <w:szCs w:val="24"/>
        </w:rPr>
        <w:t xml:space="preserve">1.2. </w:t>
      </w:r>
      <w:r w:rsidR="00CB369E" w:rsidRPr="00EF6ACA">
        <w:rPr>
          <w:rFonts w:ascii="Calibri" w:hAnsi="Calibri" w:cs="Calibri"/>
          <w:sz w:val="24"/>
          <w:szCs w:val="24"/>
        </w:rPr>
        <w:t xml:space="preserve">As diretrizes estabelecidas nesta Política devem ser observadas por todos os colaboradores envolvidos nas atividades atinentes à alocação dos ativos negociados nas carteiras sob gestão, bem como aqueles atuantes junto à área de gestão de riscos e </w:t>
      </w:r>
      <w:r w:rsidRPr="00EF6ACA">
        <w:rPr>
          <w:rFonts w:ascii="Calibri" w:hAnsi="Calibri" w:cs="Calibri"/>
          <w:sz w:val="24"/>
          <w:szCs w:val="24"/>
        </w:rPr>
        <w:t>Compliance</w:t>
      </w:r>
      <w:r w:rsidR="00CB369E" w:rsidRPr="00EF6ACA">
        <w:rPr>
          <w:rFonts w:ascii="Calibri" w:hAnsi="Calibri" w:cs="Calibri"/>
          <w:sz w:val="24"/>
          <w:szCs w:val="24"/>
        </w:rPr>
        <w:t>, aos quais compete a verificação do fiel cumprimento desta Política.</w:t>
      </w:r>
      <w:r w:rsidR="005913F0" w:rsidRPr="00EF6ACA">
        <w:rPr>
          <w:rFonts w:ascii="Calibri" w:hAnsi="Calibri" w:cs="Calibri"/>
          <w:sz w:val="24"/>
          <w:szCs w:val="24"/>
        </w:rPr>
        <w:t xml:space="preserve"> </w:t>
      </w:r>
      <w:r w:rsidR="005913F0" w:rsidRPr="00EF6ACA">
        <w:rPr>
          <w:rFonts w:ascii="Calibri" w:eastAsia="Times New Roman" w:hAnsi="Calibri" w:cs="Calibri"/>
          <w:sz w:val="24"/>
          <w:szCs w:val="24"/>
        </w:rPr>
        <w:t>Estão sujeitas às diretrizes desta Política todas as carteiras sob gestão da Sociedade, desde que sejam realizadas operações em lote elegíveis para aos respectivos portfólios.</w:t>
      </w:r>
    </w:p>
    <w:p w14:paraId="2B2BDA96" w14:textId="77777777" w:rsidR="005913F0" w:rsidRPr="00EF6ACA" w:rsidRDefault="005913F0" w:rsidP="00EF6ACA">
      <w:pPr>
        <w:spacing w:after="0" w:line="320" w:lineRule="exact"/>
        <w:jc w:val="both"/>
        <w:rPr>
          <w:rFonts w:ascii="Calibri" w:eastAsia="Times New Roman" w:hAnsi="Calibri" w:cs="Calibri"/>
          <w:sz w:val="24"/>
          <w:szCs w:val="24"/>
        </w:rPr>
      </w:pPr>
    </w:p>
    <w:p w14:paraId="011A1F76" w14:textId="634B6B69" w:rsidR="00D15E67" w:rsidRPr="00EF6ACA" w:rsidRDefault="000820E4" w:rsidP="00EF6ACA">
      <w:pPr>
        <w:spacing w:after="0" w:line="320" w:lineRule="exact"/>
        <w:jc w:val="center"/>
        <w:rPr>
          <w:rFonts w:ascii="Calibri" w:hAnsi="Calibri" w:cs="Calibri"/>
          <w:b/>
          <w:bCs/>
          <w:sz w:val="24"/>
          <w:szCs w:val="24"/>
        </w:rPr>
      </w:pPr>
      <w:r w:rsidRPr="00EF6ACA">
        <w:rPr>
          <w:rFonts w:ascii="Calibri" w:hAnsi="Calibri" w:cs="Calibri"/>
          <w:b/>
          <w:bCs/>
          <w:sz w:val="24"/>
          <w:szCs w:val="24"/>
        </w:rPr>
        <w:t>CAPÍTULO II</w:t>
      </w:r>
    </w:p>
    <w:p w14:paraId="77105035" w14:textId="4F4758FF" w:rsidR="00D15E67" w:rsidRPr="00EF6ACA" w:rsidRDefault="000820E4" w:rsidP="00EF6ACA">
      <w:pPr>
        <w:spacing w:after="0" w:line="320" w:lineRule="exact"/>
        <w:jc w:val="center"/>
        <w:rPr>
          <w:rFonts w:ascii="Calibri" w:hAnsi="Calibri" w:cs="Calibri"/>
          <w:b/>
          <w:bCs/>
          <w:sz w:val="24"/>
          <w:szCs w:val="24"/>
        </w:rPr>
      </w:pPr>
      <w:r w:rsidRPr="00EF6ACA">
        <w:rPr>
          <w:rFonts w:ascii="Calibri" w:hAnsi="Calibri" w:cs="Calibri"/>
          <w:b/>
          <w:bCs/>
          <w:sz w:val="24"/>
          <w:szCs w:val="24"/>
        </w:rPr>
        <w:t>METODOLOGIA</w:t>
      </w:r>
    </w:p>
    <w:p w14:paraId="28BA996D" w14:textId="199CA040" w:rsidR="00C136D2" w:rsidRPr="00EF6ACA" w:rsidRDefault="00C136D2" w:rsidP="00EF6ACA">
      <w:pPr>
        <w:spacing w:after="0" w:line="320" w:lineRule="exact"/>
        <w:jc w:val="both"/>
        <w:rPr>
          <w:rFonts w:ascii="Calibri" w:hAnsi="Calibri" w:cs="Calibri"/>
          <w:sz w:val="24"/>
          <w:szCs w:val="24"/>
        </w:rPr>
      </w:pPr>
    </w:p>
    <w:p w14:paraId="59B97D31" w14:textId="65243235" w:rsidR="000D7D56" w:rsidRPr="00EF6ACA" w:rsidRDefault="005913F0" w:rsidP="00EF6ACA">
      <w:pPr>
        <w:pStyle w:val="Corpodetexto"/>
        <w:spacing w:after="0" w:line="320" w:lineRule="exact"/>
        <w:ind w:left="705" w:hanging="705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EF6ACA">
        <w:rPr>
          <w:rFonts w:ascii="Calibri" w:eastAsiaTheme="minorHAnsi" w:hAnsi="Calibri" w:cs="Calibri"/>
          <w:sz w:val="24"/>
          <w:szCs w:val="24"/>
          <w:lang w:eastAsia="en-US"/>
        </w:rPr>
        <w:t>1)</w:t>
      </w:r>
      <w:r w:rsidRPr="00EF6ACA">
        <w:rPr>
          <w:rFonts w:ascii="Calibri" w:eastAsiaTheme="minorHAnsi" w:hAnsi="Calibri" w:cs="Calibri"/>
          <w:sz w:val="24"/>
          <w:szCs w:val="24"/>
          <w:lang w:eastAsia="en-US"/>
        </w:rPr>
        <w:tab/>
      </w:r>
      <w:r w:rsidR="000D7D56" w:rsidRPr="00EF6ACA">
        <w:rPr>
          <w:rFonts w:ascii="Calibri" w:eastAsiaTheme="minorHAnsi" w:hAnsi="Calibri" w:cs="Calibri"/>
          <w:sz w:val="24"/>
          <w:szCs w:val="24"/>
          <w:lang w:eastAsia="en-US"/>
        </w:rPr>
        <w:t xml:space="preserve">A Sociedade priorizará realizar a emissão de ordens individuais, com a identificação precisa da </w:t>
      </w:r>
      <w:r w:rsidR="00597789">
        <w:rPr>
          <w:rFonts w:ascii="Calibri" w:eastAsiaTheme="minorHAnsi" w:hAnsi="Calibri" w:cs="Calibri"/>
          <w:sz w:val="24"/>
          <w:szCs w:val="24"/>
          <w:lang w:eastAsia="en-US"/>
        </w:rPr>
        <w:t>carteira</w:t>
      </w:r>
      <w:r w:rsidR="000D7D56" w:rsidRPr="00EF6ACA">
        <w:rPr>
          <w:rFonts w:ascii="Calibri" w:eastAsiaTheme="minorHAnsi" w:hAnsi="Calibri" w:cs="Calibri"/>
          <w:sz w:val="24"/>
          <w:szCs w:val="24"/>
          <w:lang w:eastAsia="en-US"/>
        </w:rPr>
        <w:t xml:space="preserve"> em nome da qual devem ser executadas, de modo a evitar a necessidade de rateio e divisão de ordens. No entanto, caso venha a emitir ordens agrupadas, a metodologia disposta </w:t>
      </w:r>
      <w:r w:rsidR="00597789">
        <w:rPr>
          <w:rFonts w:ascii="Calibri" w:eastAsiaTheme="minorHAnsi" w:hAnsi="Calibri" w:cs="Calibri"/>
          <w:sz w:val="24"/>
          <w:szCs w:val="24"/>
          <w:lang w:eastAsia="en-US"/>
        </w:rPr>
        <w:t xml:space="preserve">ora descrita </w:t>
      </w:r>
      <w:r w:rsidR="000D7D56" w:rsidRPr="00EF6ACA">
        <w:rPr>
          <w:rFonts w:ascii="Calibri" w:eastAsiaTheme="minorHAnsi" w:hAnsi="Calibri" w:cs="Calibri"/>
          <w:sz w:val="24"/>
          <w:szCs w:val="24"/>
          <w:lang w:eastAsia="en-US"/>
        </w:rPr>
        <w:t>será adotada com o objetivo de definir critérios equitativos de divisão/rateio de operações sem prejuízo aos seus clientes.</w:t>
      </w:r>
    </w:p>
    <w:p w14:paraId="496290DE" w14:textId="77777777" w:rsidR="000D7D56" w:rsidRPr="00EF6ACA" w:rsidRDefault="000D7D56" w:rsidP="00EF6ACA">
      <w:pPr>
        <w:spacing w:after="0" w:line="320" w:lineRule="exact"/>
        <w:jc w:val="both"/>
        <w:rPr>
          <w:rFonts w:ascii="Calibri" w:hAnsi="Calibri" w:cs="Calibri"/>
          <w:sz w:val="24"/>
          <w:szCs w:val="24"/>
        </w:rPr>
      </w:pPr>
    </w:p>
    <w:p w14:paraId="5FB0528B" w14:textId="2E7C7AD0" w:rsidR="005913F0" w:rsidRPr="00EF6ACA" w:rsidRDefault="000D7D56" w:rsidP="00EF6ACA">
      <w:pPr>
        <w:spacing w:after="0" w:line="320" w:lineRule="exact"/>
        <w:ind w:left="705" w:hanging="705"/>
        <w:jc w:val="both"/>
        <w:rPr>
          <w:rFonts w:ascii="Calibri" w:hAnsi="Calibri" w:cs="Calibri"/>
          <w:sz w:val="24"/>
          <w:szCs w:val="24"/>
        </w:rPr>
      </w:pPr>
      <w:r w:rsidRPr="00EF6ACA">
        <w:rPr>
          <w:rFonts w:ascii="Calibri" w:hAnsi="Calibri" w:cs="Calibri"/>
          <w:sz w:val="24"/>
          <w:szCs w:val="24"/>
        </w:rPr>
        <w:t>2)</w:t>
      </w:r>
      <w:r w:rsidRPr="00EF6ACA">
        <w:rPr>
          <w:rFonts w:ascii="Calibri" w:hAnsi="Calibri" w:cs="Calibri"/>
          <w:sz w:val="24"/>
          <w:szCs w:val="24"/>
        </w:rPr>
        <w:tab/>
      </w:r>
      <w:r w:rsidR="005913F0" w:rsidRPr="00EF6ACA">
        <w:rPr>
          <w:rFonts w:ascii="Calibri" w:hAnsi="Calibri" w:cs="Calibri"/>
          <w:sz w:val="24"/>
          <w:szCs w:val="24"/>
        </w:rPr>
        <w:t>O grupamento de ordens deve observar as características específicas de c</w:t>
      </w:r>
      <w:r w:rsidR="00597789">
        <w:rPr>
          <w:rFonts w:ascii="Calibri" w:hAnsi="Calibri" w:cs="Calibri"/>
          <w:sz w:val="24"/>
          <w:szCs w:val="24"/>
        </w:rPr>
        <w:t>arteira</w:t>
      </w:r>
      <w:r w:rsidR="005913F0" w:rsidRPr="00EF6ACA">
        <w:rPr>
          <w:rFonts w:ascii="Calibri" w:hAnsi="Calibri" w:cs="Calibri"/>
          <w:sz w:val="24"/>
          <w:szCs w:val="24"/>
        </w:rPr>
        <w:t>, sendo separadas de acordo com as respectivas políticas de investimento e estratégias.</w:t>
      </w:r>
    </w:p>
    <w:p w14:paraId="0A5B82C1" w14:textId="77777777" w:rsidR="005913F0" w:rsidRPr="00EF6ACA" w:rsidRDefault="005913F0" w:rsidP="00EF6ACA">
      <w:pPr>
        <w:spacing w:after="0" w:line="320" w:lineRule="exact"/>
        <w:jc w:val="both"/>
        <w:rPr>
          <w:rFonts w:ascii="Calibri" w:hAnsi="Calibri" w:cs="Calibri"/>
          <w:sz w:val="24"/>
          <w:szCs w:val="24"/>
        </w:rPr>
      </w:pPr>
    </w:p>
    <w:p w14:paraId="73B3DAEF" w14:textId="4CABD90B" w:rsidR="005913F0" w:rsidRPr="00EF6ACA" w:rsidRDefault="000D7D56" w:rsidP="00EF6ACA">
      <w:pPr>
        <w:pStyle w:val="Default"/>
        <w:spacing w:line="320" w:lineRule="exact"/>
        <w:ind w:left="705" w:hanging="705"/>
        <w:jc w:val="both"/>
        <w:rPr>
          <w:rFonts w:ascii="Calibri" w:hAnsi="Calibri" w:cs="Calibri"/>
        </w:rPr>
      </w:pPr>
      <w:r w:rsidRPr="00EF6ACA">
        <w:rPr>
          <w:rFonts w:ascii="Calibri" w:hAnsi="Calibri" w:cs="Calibri"/>
        </w:rPr>
        <w:t>3</w:t>
      </w:r>
      <w:r w:rsidR="005913F0" w:rsidRPr="00EF6ACA">
        <w:rPr>
          <w:rFonts w:ascii="Calibri" w:hAnsi="Calibri" w:cs="Calibri"/>
        </w:rPr>
        <w:t>)</w:t>
      </w:r>
      <w:r w:rsidR="005913F0" w:rsidRPr="00EF6ACA">
        <w:rPr>
          <w:rFonts w:ascii="Calibri" w:hAnsi="Calibri" w:cs="Calibri"/>
        </w:rPr>
        <w:tab/>
      </w:r>
      <w:r w:rsidR="00597789">
        <w:rPr>
          <w:rFonts w:ascii="Calibri" w:hAnsi="Calibri" w:cs="Calibri"/>
        </w:rPr>
        <w:t>C</w:t>
      </w:r>
      <w:r w:rsidR="005913F0" w:rsidRPr="00EF6ACA">
        <w:rPr>
          <w:rFonts w:ascii="Calibri" w:hAnsi="Calibri" w:cs="Calibri"/>
        </w:rPr>
        <w:t xml:space="preserve">aso as ordens sejam emitidas via </w:t>
      </w:r>
      <w:proofErr w:type="spellStart"/>
      <w:r w:rsidR="005913F0" w:rsidRPr="00EF6ACA">
        <w:rPr>
          <w:rFonts w:ascii="Calibri" w:hAnsi="Calibri" w:cs="Calibri"/>
        </w:rPr>
        <w:t>conta-mãe</w:t>
      </w:r>
      <w:proofErr w:type="spellEnd"/>
      <w:r w:rsidR="005913F0" w:rsidRPr="00EF6ACA">
        <w:rPr>
          <w:rFonts w:ascii="Calibri" w:hAnsi="Calibri" w:cs="Calibri"/>
        </w:rPr>
        <w:t>,</w:t>
      </w:r>
      <w:r w:rsidR="005913F0" w:rsidRPr="00EF6ACA" w:rsidDel="007500DD">
        <w:rPr>
          <w:rFonts w:ascii="Calibri" w:hAnsi="Calibri" w:cs="Calibri"/>
        </w:rPr>
        <w:t xml:space="preserve"> </w:t>
      </w:r>
      <w:r w:rsidR="005913F0" w:rsidRPr="00EF6ACA">
        <w:rPr>
          <w:rFonts w:ascii="Calibri" w:hAnsi="Calibri" w:cs="Calibri"/>
        </w:rPr>
        <w:t>o rateio / alocação será formalizado pela Equipe de Gestão por meio do envio, concomitantemente com a ordem, de um e-mail com as características da operação e decisão de rateio já nominal</w:t>
      </w:r>
      <w:r w:rsidR="00AF38A4" w:rsidRPr="00EF6ACA">
        <w:rPr>
          <w:rFonts w:ascii="Calibri" w:hAnsi="Calibri" w:cs="Calibri"/>
        </w:rPr>
        <w:t xml:space="preserve"> à c</w:t>
      </w:r>
      <w:r w:rsidR="00597789">
        <w:rPr>
          <w:rFonts w:ascii="Calibri" w:hAnsi="Calibri" w:cs="Calibri"/>
        </w:rPr>
        <w:t>arteira</w:t>
      </w:r>
      <w:r w:rsidR="005913F0" w:rsidRPr="00EF6ACA">
        <w:rPr>
          <w:rFonts w:ascii="Calibri" w:hAnsi="Calibri" w:cs="Calibri"/>
        </w:rPr>
        <w:t>, de forma que não reste dúvida, desde o momento da emissão, do beneficiário final da operação e em qual proporção.</w:t>
      </w:r>
    </w:p>
    <w:p w14:paraId="55E30533" w14:textId="77777777" w:rsidR="005913F0" w:rsidRPr="00EF6ACA" w:rsidRDefault="005913F0" w:rsidP="00EF6ACA">
      <w:pPr>
        <w:spacing w:after="0" w:line="320" w:lineRule="exact"/>
        <w:ind w:left="705" w:hanging="705"/>
        <w:jc w:val="both"/>
        <w:rPr>
          <w:rFonts w:ascii="Calibri" w:hAnsi="Calibri" w:cs="Calibri"/>
          <w:sz w:val="24"/>
          <w:szCs w:val="24"/>
        </w:rPr>
      </w:pPr>
    </w:p>
    <w:p w14:paraId="014B5178" w14:textId="1094194C" w:rsidR="005913F0" w:rsidRPr="00EF6ACA" w:rsidRDefault="000D7D56" w:rsidP="00EF6ACA">
      <w:pPr>
        <w:spacing w:after="0" w:line="320" w:lineRule="exact"/>
        <w:ind w:left="705" w:hanging="705"/>
        <w:jc w:val="both"/>
        <w:rPr>
          <w:rFonts w:ascii="Calibri" w:hAnsi="Calibri" w:cs="Calibri"/>
          <w:sz w:val="24"/>
          <w:szCs w:val="24"/>
        </w:rPr>
      </w:pPr>
      <w:r w:rsidRPr="00EF6ACA">
        <w:rPr>
          <w:rFonts w:ascii="Calibri" w:hAnsi="Calibri" w:cs="Calibri"/>
          <w:sz w:val="24"/>
          <w:szCs w:val="24"/>
        </w:rPr>
        <w:t>4</w:t>
      </w:r>
      <w:r w:rsidR="005913F0" w:rsidRPr="00EF6ACA">
        <w:rPr>
          <w:rFonts w:ascii="Calibri" w:hAnsi="Calibri" w:cs="Calibri"/>
          <w:sz w:val="24"/>
          <w:szCs w:val="24"/>
        </w:rPr>
        <w:t>)</w:t>
      </w:r>
      <w:r w:rsidR="005913F0" w:rsidRPr="00EF6ACA">
        <w:rPr>
          <w:rFonts w:ascii="Calibri" w:hAnsi="Calibri" w:cs="Calibri"/>
          <w:sz w:val="24"/>
          <w:szCs w:val="24"/>
        </w:rPr>
        <w:tab/>
        <w:t xml:space="preserve">Tal procedimento, além de garantir o tratamento equitativo entre as carteiras sob gestão e, por outro lado, respeitar as características individuais de cada mandato, permite a comprovação e </w:t>
      </w:r>
      <w:r w:rsidR="005913F0" w:rsidRPr="00EF6ACA">
        <w:rPr>
          <w:rFonts w:ascii="Calibri" w:hAnsi="Calibri" w:cs="Calibri"/>
          <w:sz w:val="24"/>
          <w:szCs w:val="24"/>
        </w:rPr>
        <w:lastRenderedPageBreak/>
        <w:t>verificação das ordens emitidas, por meio dos registros do conteúdo, data e horário nos servidores e arquivos de e-mails tanto dos emissores quanto do receptor, sendo certo que tais informações estarão acessíveis aos responsáveis pelo risco e compliance.</w:t>
      </w:r>
    </w:p>
    <w:p w14:paraId="41811733" w14:textId="77777777" w:rsidR="005913F0" w:rsidRPr="00EF6ACA" w:rsidRDefault="005913F0" w:rsidP="00EF6ACA">
      <w:pPr>
        <w:spacing w:after="0" w:line="320" w:lineRule="exact"/>
        <w:ind w:left="705" w:hanging="705"/>
        <w:jc w:val="both"/>
        <w:rPr>
          <w:rFonts w:ascii="Calibri" w:hAnsi="Calibri" w:cs="Calibri"/>
          <w:sz w:val="24"/>
          <w:szCs w:val="24"/>
        </w:rPr>
      </w:pPr>
    </w:p>
    <w:p w14:paraId="1063D89F" w14:textId="0A839C50" w:rsidR="005913F0" w:rsidRPr="00EF6ACA" w:rsidRDefault="000D7D56" w:rsidP="00EF6ACA">
      <w:pPr>
        <w:spacing w:after="0" w:line="320" w:lineRule="exact"/>
        <w:ind w:left="705" w:hanging="705"/>
        <w:jc w:val="both"/>
        <w:rPr>
          <w:rFonts w:ascii="Calibri" w:hAnsi="Calibri" w:cs="Calibri"/>
          <w:sz w:val="24"/>
          <w:szCs w:val="24"/>
        </w:rPr>
      </w:pPr>
      <w:r w:rsidRPr="00EF6ACA">
        <w:rPr>
          <w:rFonts w:ascii="Calibri" w:hAnsi="Calibri" w:cs="Calibri"/>
          <w:sz w:val="24"/>
          <w:szCs w:val="24"/>
        </w:rPr>
        <w:t>5</w:t>
      </w:r>
      <w:r w:rsidR="005913F0" w:rsidRPr="00EF6ACA">
        <w:rPr>
          <w:rFonts w:ascii="Calibri" w:hAnsi="Calibri" w:cs="Calibri"/>
          <w:sz w:val="24"/>
          <w:szCs w:val="24"/>
        </w:rPr>
        <w:t>)</w:t>
      </w:r>
      <w:r w:rsidR="005913F0" w:rsidRPr="00EF6ACA">
        <w:rPr>
          <w:rFonts w:ascii="Calibri" w:hAnsi="Calibri" w:cs="Calibri"/>
          <w:sz w:val="24"/>
          <w:szCs w:val="24"/>
        </w:rPr>
        <w:tab/>
        <w:t>Todas as ordens de compra e/ou venda de títulos e valores mobiliários e outros ativos disponíveis no âmbito do mercado financeiro e de capitais devem ser rateadas em um mesmo preço médio ao final do dia, independente da classe e subclasse do ativo.</w:t>
      </w:r>
    </w:p>
    <w:p w14:paraId="617A0993" w14:textId="77777777" w:rsidR="005913F0" w:rsidRPr="00EF6ACA" w:rsidRDefault="005913F0" w:rsidP="00EF6ACA">
      <w:pPr>
        <w:spacing w:after="0" w:line="320" w:lineRule="exact"/>
        <w:ind w:left="705" w:hanging="705"/>
        <w:jc w:val="both"/>
        <w:rPr>
          <w:rFonts w:ascii="Calibri" w:hAnsi="Calibri" w:cs="Calibri"/>
          <w:sz w:val="24"/>
          <w:szCs w:val="24"/>
        </w:rPr>
      </w:pPr>
    </w:p>
    <w:p w14:paraId="21CE46FD" w14:textId="6A73660E" w:rsidR="005913F0" w:rsidRPr="00EF6ACA" w:rsidRDefault="000D7D56" w:rsidP="00EF6ACA">
      <w:pPr>
        <w:spacing w:after="0" w:line="320" w:lineRule="exact"/>
        <w:ind w:left="705" w:hanging="705"/>
        <w:jc w:val="both"/>
        <w:rPr>
          <w:rFonts w:ascii="Calibri" w:hAnsi="Calibri" w:cs="Calibri"/>
          <w:sz w:val="24"/>
          <w:szCs w:val="24"/>
        </w:rPr>
      </w:pPr>
      <w:r w:rsidRPr="00EF6ACA">
        <w:rPr>
          <w:rFonts w:ascii="Calibri" w:hAnsi="Calibri" w:cs="Calibri"/>
          <w:sz w:val="24"/>
          <w:szCs w:val="24"/>
        </w:rPr>
        <w:t>6</w:t>
      </w:r>
      <w:r w:rsidR="005913F0" w:rsidRPr="00EF6ACA">
        <w:rPr>
          <w:rFonts w:ascii="Calibri" w:hAnsi="Calibri" w:cs="Calibri"/>
          <w:sz w:val="24"/>
          <w:szCs w:val="24"/>
        </w:rPr>
        <w:t>)</w:t>
      </w:r>
      <w:r w:rsidR="005913F0" w:rsidRPr="00EF6ACA">
        <w:rPr>
          <w:rFonts w:ascii="Calibri" w:hAnsi="Calibri" w:cs="Calibri"/>
          <w:sz w:val="24"/>
          <w:szCs w:val="24"/>
        </w:rPr>
        <w:tab/>
        <w:t xml:space="preserve">A Sociedade levará em consideração os seguintes critérios para a definição da alocação de que trata esta metodologia: (i) patrimônio líquido de cada </w:t>
      </w:r>
      <w:r w:rsidR="00AF38A4" w:rsidRPr="00EF6ACA">
        <w:rPr>
          <w:rFonts w:ascii="Calibri" w:hAnsi="Calibri" w:cs="Calibri"/>
          <w:sz w:val="24"/>
          <w:szCs w:val="24"/>
        </w:rPr>
        <w:t>classe</w:t>
      </w:r>
      <w:r w:rsidR="005913F0" w:rsidRPr="00EF6ACA">
        <w:rPr>
          <w:rFonts w:ascii="Calibri" w:hAnsi="Calibri" w:cs="Calibri"/>
          <w:sz w:val="24"/>
          <w:szCs w:val="24"/>
        </w:rPr>
        <w:t>; (</w:t>
      </w:r>
      <w:proofErr w:type="spellStart"/>
      <w:r w:rsidR="005913F0" w:rsidRPr="00EF6ACA">
        <w:rPr>
          <w:rFonts w:ascii="Calibri" w:hAnsi="Calibri" w:cs="Calibri"/>
          <w:sz w:val="24"/>
          <w:szCs w:val="24"/>
        </w:rPr>
        <w:t>ii</w:t>
      </w:r>
      <w:proofErr w:type="spellEnd"/>
      <w:r w:rsidR="005913F0" w:rsidRPr="00EF6ACA">
        <w:rPr>
          <w:rFonts w:ascii="Calibri" w:hAnsi="Calibri" w:cs="Calibri"/>
          <w:sz w:val="24"/>
          <w:szCs w:val="24"/>
        </w:rPr>
        <w:t>) estoque (caixa); (</w:t>
      </w:r>
      <w:proofErr w:type="spellStart"/>
      <w:r w:rsidR="005913F0" w:rsidRPr="00EF6ACA">
        <w:rPr>
          <w:rFonts w:ascii="Calibri" w:hAnsi="Calibri" w:cs="Calibri"/>
          <w:sz w:val="24"/>
          <w:szCs w:val="24"/>
        </w:rPr>
        <w:t>iii</w:t>
      </w:r>
      <w:proofErr w:type="spellEnd"/>
      <w:r w:rsidR="005913F0" w:rsidRPr="00EF6ACA">
        <w:rPr>
          <w:rFonts w:ascii="Calibri" w:hAnsi="Calibri" w:cs="Calibri"/>
          <w:sz w:val="24"/>
          <w:szCs w:val="24"/>
        </w:rPr>
        <w:t>) limites de risco; (</w:t>
      </w:r>
      <w:proofErr w:type="spellStart"/>
      <w:r w:rsidR="005913F0" w:rsidRPr="00EF6ACA">
        <w:rPr>
          <w:rFonts w:ascii="Calibri" w:hAnsi="Calibri" w:cs="Calibri"/>
          <w:sz w:val="24"/>
          <w:szCs w:val="24"/>
        </w:rPr>
        <w:t>iv</w:t>
      </w:r>
      <w:proofErr w:type="spellEnd"/>
      <w:r w:rsidR="005913F0" w:rsidRPr="00EF6ACA">
        <w:rPr>
          <w:rFonts w:ascii="Calibri" w:hAnsi="Calibri" w:cs="Calibri"/>
          <w:sz w:val="24"/>
          <w:szCs w:val="24"/>
        </w:rPr>
        <w:t>) fator de alavancagem; (v) política de investimento; (vi) necessidade de liquidez; (</w:t>
      </w:r>
      <w:proofErr w:type="spellStart"/>
      <w:r w:rsidR="005913F0" w:rsidRPr="00EF6ACA">
        <w:rPr>
          <w:rFonts w:ascii="Calibri" w:hAnsi="Calibri" w:cs="Calibri"/>
          <w:sz w:val="24"/>
          <w:szCs w:val="24"/>
        </w:rPr>
        <w:t>vii</w:t>
      </w:r>
      <w:proofErr w:type="spellEnd"/>
      <w:r w:rsidR="005913F0" w:rsidRPr="00EF6ACA">
        <w:rPr>
          <w:rFonts w:ascii="Calibri" w:hAnsi="Calibri" w:cs="Calibri"/>
          <w:sz w:val="24"/>
          <w:szCs w:val="24"/>
        </w:rPr>
        <w:t>) restrições legais e regulatórias.</w:t>
      </w:r>
    </w:p>
    <w:p w14:paraId="018611AF" w14:textId="77777777" w:rsidR="005913F0" w:rsidRPr="00EF6ACA" w:rsidRDefault="005913F0" w:rsidP="00EF6ACA">
      <w:pPr>
        <w:spacing w:after="0" w:line="320" w:lineRule="exact"/>
        <w:jc w:val="both"/>
        <w:rPr>
          <w:rFonts w:ascii="Calibri" w:hAnsi="Calibri" w:cs="Calibri"/>
          <w:b/>
          <w:sz w:val="24"/>
          <w:szCs w:val="24"/>
        </w:rPr>
      </w:pPr>
    </w:p>
    <w:p w14:paraId="0F611BC7" w14:textId="0D082102" w:rsidR="005913F0" w:rsidRPr="00EF6ACA" w:rsidRDefault="000D7D56" w:rsidP="00EF6ACA">
      <w:pPr>
        <w:spacing w:after="0" w:line="320" w:lineRule="exact"/>
        <w:ind w:left="705" w:hanging="705"/>
        <w:jc w:val="both"/>
        <w:rPr>
          <w:rFonts w:ascii="Calibri" w:hAnsi="Calibri" w:cs="Calibri"/>
          <w:sz w:val="24"/>
          <w:szCs w:val="24"/>
        </w:rPr>
      </w:pPr>
      <w:r w:rsidRPr="00EF6ACA">
        <w:rPr>
          <w:rFonts w:ascii="Calibri" w:hAnsi="Calibri" w:cs="Calibri"/>
          <w:bCs/>
          <w:sz w:val="24"/>
          <w:szCs w:val="24"/>
        </w:rPr>
        <w:t>7</w:t>
      </w:r>
      <w:r w:rsidR="005913F0" w:rsidRPr="00EF6ACA">
        <w:rPr>
          <w:rFonts w:ascii="Calibri" w:hAnsi="Calibri" w:cs="Calibri"/>
          <w:bCs/>
          <w:sz w:val="24"/>
          <w:szCs w:val="24"/>
        </w:rPr>
        <w:t>)</w:t>
      </w:r>
      <w:r w:rsidR="005913F0" w:rsidRPr="00EF6ACA">
        <w:rPr>
          <w:rFonts w:ascii="Calibri" w:hAnsi="Calibri" w:cs="Calibri"/>
          <w:bCs/>
          <w:sz w:val="24"/>
          <w:szCs w:val="24"/>
        </w:rPr>
        <w:tab/>
      </w:r>
      <w:r w:rsidR="005913F0" w:rsidRPr="00EF6ACA">
        <w:rPr>
          <w:rFonts w:ascii="Calibri" w:hAnsi="Calibri" w:cs="Calibri"/>
          <w:color w:val="000000"/>
          <w:sz w:val="24"/>
          <w:szCs w:val="24"/>
        </w:rPr>
        <w:t>A área de Risco é responsável por verificar a correta realização do rateio pelas corretoras e conferir os preços praticados. Caso identificada alguma incompatibilidade ou erro, a Equipe de Gestão será alertada e deverá elaborar um racional com base nos critérios acima definidos e preços praticados para fundamentar a eventual realocação ou manutenção do rateio, evitando maiores prejuízos às carteiras.</w:t>
      </w:r>
    </w:p>
    <w:p w14:paraId="1B73536C" w14:textId="77777777" w:rsidR="005913F0" w:rsidRPr="00EF6ACA" w:rsidRDefault="005913F0" w:rsidP="00EF6ACA">
      <w:pPr>
        <w:spacing w:after="0" w:line="320" w:lineRule="exact"/>
        <w:jc w:val="both"/>
        <w:rPr>
          <w:rFonts w:ascii="Calibri" w:hAnsi="Calibri" w:cs="Calibri"/>
          <w:sz w:val="24"/>
          <w:szCs w:val="24"/>
        </w:rPr>
      </w:pPr>
    </w:p>
    <w:p w14:paraId="32542912" w14:textId="38783AF5" w:rsidR="005913F0" w:rsidRPr="00EF6ACA" w:rsidRDefault="000D7D56" w:rsidP="00EF6ACA">
      <w:pPr>
        <w:spacing w:after="0" w:line="320" w:lineRule="exact"/>
        <w:ind w:left="705" w:hanging="705"/>
        <w:jc w:val="both"/>
        <w:rPr>
          <w:rFonts w:ascii="Calibri" w:hAnsi="Calibri" w:cs="Calibri"/>
          <w:sz w:val="24"/>
          <w:szCs w:val="24"/>
        </w:rPr>
      </w:pPr>
      <w:r w:rsidRPr="00EF6ACA">
        <w:rPr>
          <w:rFonts w:ascii="Calibri" w:hAnsi="Calibri" w:cs="Calibri"/>
          <w:sz w:val="24"/>
          <w:szCs w:val="24"/>
        </w:rPr>
        <w:t>8</w:t>
      </w:r>
      <w:r w:rsidR="005913F0" w:rsidRPr="00EF6ACA">
        <w:rPr>
          <w:rFonts w:ascii="Calibri" w:hAnsi="Calibri" w:cs="Calibri"/>
          <w:sz w:val="24"/>
          <w:szCs w:val="24"/>
        </w:rPr>
        <w:t>)</w:t>
      </w:r>
      <w:r w:rsidR="005913F0" w:rsidRPr="00EF6ACA">
        <w:rPr>
          <w:rFonts w:ascii="Calibri" w:hAnsi="Calibri" w:cs="Calibri"/>
          <w:sz w:val="24"/>
          <w:szCs w:val="24"/>
        </w:rPr>
        <w:tab/>
        <w:t>A fim de evitar eventuais conflitos de interesse nas operações entre carteiras geridas pela Sociedade ou contrapartes do mesmo grupo econômico, a Sociedade não realizará operações com tais características.</w:t>
      </w:r>
    </w:p>
    <w:p w14:paraId="1FA6BB61" w14:textId="77777777" w:rsidR="00F64898" w:rsidRPr="00EF6ACA" w:rsidRDefault="00F64898" w:rsidP="00EF6ACA">
      <w:pPr>
        <w:spacing w:after="0" w:line="320" w:lineRule="exact"/>
        <w:jc w:val="both"/>
        <w:rPr>
          <w:rFonts w:ascii="Calibri" w:hAnsi="Calibri" w:cs="Calibri"/>
          <w:sz w:val="24"/>
          <w:szCs w:val="24"/>
        </w:rPr>
      </w:pPr>
    </w:p>
    <w:p w14:paraId="4BE022FE" w14:textId="004E3F48" w:rsidR="00F64898" w:rsidRPr="00EF6ACA" w:rsidRDefault="005913F0" w:rsidP="00EF6ACA">
      <w:pPr>
        <w:spacing w:after="0" w:line="320" w:lineRule="exact"/>
        <w:jc w:val="both"/>
        <w:rPr>
          <w:rFonts w:ascii="Calibri" w:hAnsi="Calibri" w:cs="Calibri"/>
          <w:sz w:val="24"/>
          <w:szCs w:val="24"/>
        </w:rPr>
      </w:pPr>
      <w:r w:rsidRPr="00EF6ACA">
        <w:rPr>
          <w:rFonts w:ascii="Calibri" w:hAnsi="Calibri" w:cs="Calibri"/>
          <w:sz w:val="24"/>
          <w:szCs w:val="24"/>
        </w:rPr>
        <w:t>2.1.</w:t>
      </w:r>
      <w:r w:rsidR="00952A1A" w:rsidRPr="00EF6ACA">
        <w:rPr>
          <w:rFonts w:ascii="Calibri" w:hAnsi="Calibri" w:cs="Calibri"/>
          <w:sz w:val="24"/>
          <w:szCs w:val="24"/>
        </w:rPr>
        <w:t xml:space="preserve"> </w:t>
      </w:r>
      <w:r w:rsidR="00AF38A4" w:rsidRPr="00EF6ACA">
        <w:rPr>
          <w:rFonts w:ascii="Calibri" w:hAnsi="Calibri" w:cs="Calibri"/>
          <w:sz w:val="24"/>
          <w:szCs w:val="24"/>
        </w:rPr>
        <w:t xml:space="preserve">As </w:t>
      </w:r>
      <w:r w:rsidR="0029370B">
        <w:rPr>
          <w:rFonts w:ascii="Calibri" w:hAnsi="Calibri" w:cs="Calibri"/>
          <w:sz w:val="24"/>
          <w:szCs w:val="24"/>
        </w:rPr>
        <w:t>carteiras</w:t>
      </w:r>
      <w:r w:rsidR="00F64898" w:rsidRPr="00EF6ACA">
        <w:rPr>
          <w:rFonts w:ascii="Calibri" w:hAnsi="Calibri" w:cs="Calibri"/>
          <w:sz w:val="24"/>
          <w:szCs w:val="24"/>
        </w:rPr>
        <w:t xml:space="preserve"> que não compartilhem a mesma estratégia podem operar um mesmo ativo/empresa em momentos diferentes ao longo do dia. Quando isso acontecer, </w:t>
      </w:r>
      <w:r w:rsidR="00AF38A4" w:rsidRPr="00EF6ACA">
        <w:rPr>
          <w:rFonts w:ascii="Calibri" w:hAnsi="Calibri" w:cs="Calibri"/>
          <w:sz w:val="24"/>
          <w:szCs w:val="24"/>
        </w:rPr>
        <w:t>as c</w:t>
      </w:r>
      <w:r w:rsidR="0029370B">
        <w:rPr>
          <w:rFonts w:ascii="Calibri" w:hAnsi="Calibri" w:cs="Calibri"/>
          <w:sz w:val="24"/>
          <w:szCs w:val="24"/>
        </w:rPr>
        <w:t>arteiras</w:t>
      </w:r>
      <w:r w:rsidR="00F64898" w:rsidRPr="00EF6ACA">
        <w:rPr>
          <w:rFonts w:ascii="Calibri" w:hAnsi="Calibri" w:cs="Calibri"/>
          <w:sz w:val="24"/>
          <w:szCs w:val="24"/>
        </w:rPr>
        <w:t xml:space="preserve"> de estratégias diferentes ficarão com preços médios diferentes</w:t>
      </w:r>
    </w:p>
    <w:p w14:paraId="1AC57ECF" w14:textId="5DA0187F" w:rsidR="00A361A5" w:rsidRPr="00EF6ACA" w:rsidRDefault="00A361A5" w:rsidP="00EF6ACA">
      <w:pPr>
        <w:spacing w:after="0" w:line="320" w:lineRule="exact"/>
        <w:rPr>
          <w:rFonts w:ascii="Calibri" w:hAnsi="Calibri" w:cs="Calibri"/>
          <w:color w:val="FF0000"/>
          <w:sz w:val="24"/>
          <w:szCs w:val="24"/>
        </w:rPr>
      </w:pPr>
    </w:p>
    <w:p w14:paraId="4E8F125F" w14:textId="77777777" w:rsidR="005913F0" w:rsidRPr="00EF6ACA" w:rsidRDefault="005913F0" w:rsidP="00EF6ACA">
      <w:pPr>
        <w:spacing w:after="0" w:line="320" w:lineRule="exact"/>
        <w:jc w:val="both"/>
        <w:rPr>
          <w:rFonts w:ascii="Calibri" w:hAnsi="Calibri" w:cs="Calibri"/>
          <w:b/>
          <w:sz w:val="24"/>
          <w:szCs w:val="24"/>
        </w:rPr>
      </w:pPr>
      <w:r w:rsidRPr="00EF6ACA">
        <w:rPr>
          <w:rFonts w:ascii="Calibri" w:hAnsi="Calibri" w:cs="Calibri"/>
          <w:b/>
          <w:sz w:val="24"/>
          <w:szCs w:val="24"/>
        </w:rPr>
        <w:t>Situações Excepcionais:</w:t>
      </w:r>
    </w:p>
    <w:p w14:paraId="61C096C2" w14:textId="77777777" w:rsidR="005913F0" w:rsidRPr="00EF6ACA" w:rsidRDefault="005913F0" w:rsidP="00EF6ACA">
      <w:pPr>
        <w:spacing w:after="0" w:line="320" w:lineRule="exact"/>
        <w:jc w:val="both"/>
        <w:rPr>
          <w:rFonts w:ascii="Calibri" w:hAnsi="Calibri" w:cs="Calibri"/>
          <w:sz w:val="24"/>
          <w:szCs w:val="24"/>
        </w:rPr>
      </w:pPr>
    </w:p>
    <w:p w14:paraId="783C9367" w14:textId="5B712F80" w:rsidR="005913F0" w:rsidRPr="00EF6ACA" w:rsidRDefault="005913F0" w:rsidP="0029370B">
      <w:pPr>
        <w:spacing w:after="0" w:line="320" w:lineRule="exact"/>
        <w:ind w:left="705" w:hanging="705"/>
        <w:jc w:val="both"/>
        <w:rPr>
          <w:rFonts w:ascii="Calibri" w:hAnsi="Calibri" w:cs="Calibri"/>
          <w:sz w:val="24"/>
          <w:szCs w:val="24"/>
        </w:rPr>
      </w:pPr>
      <w:r w:rsidRPr="00EF6ACA">
        <w:rPr>
          <w:rFonts w:ascii="Calibri" w:hAnsi="Calibri" w:cs="Calibri"/>
          <w:sz w:val="24"/>
          <w:szCs w:val="24"/>
        </w:rPr>
        <w:t>1)</w:t>
      </w:r>
      <w:r w:rsidRPr="00EF6ACA">
        <w:rPr>
          <w:rFonts w:ascii="Calibri" w:hAnsi="Calibri" w:cs="Calibri"/>
          <w:sz w:val="24"/>
          <w:szCs w:val="24"/>
        </w:rPr>
        <w:tab/>
      </w:r>
      <w:r w:rsidRPr="00EF6ACA">
        <w:rPr>
          <w:rFonts w:ascii="Calibri" w:hAnsi="Calibri" w:cs="Calibri"/>
          <w:sz w:val="24"/>
          <w:szCs w:val="24"/>
        </w:rPr>
        <w:tab/>
        <w:t>No caso de baixa liquidez dos ativos</w:t>
      </w:r>
      <w:r w:rsidR="0029370B">
        <w:rPr>
          <w:rFonts w:ascii="Calibri" w:hAnsi="Calibri" w:cs="Calibri"/>
          <w:sz w:val="24"/>
          <w:szCs w:val="24"/>
        </w:rPr>
        <w:t xml:space="preserve"> ou em que</w:t>
      </w:r>
      <w:r w:rsidRPr="00EF6ACA">
        <w:rPr>
          <w:rFonts w:ascii="Calibri" w:hAnsi="Calibri" w:cs="Calibri"/>
          <w:sz w:val="24"/>
          <w:szCs w:val="24"/>
        </w:rPr>
        <w:t xml:space="preserve"> a alocação de acordo com os critérios estabelecidos acima resulte em uma alocação insignificante em relação ao patrimônio líquido d</w:t>
      </w:r>
      <w:r w:rsidR="00AF38A4" w:rsidRPr="00EF6ACA">
        <w:rPr>
          <w:rFonts w:ascii="Calibri" w:hAnsi="Calibri" w:cs="Calibri"/>
          <w:sz w:val="24"/>
          <w:szCs w:val="24"/>
        </w:rPr>
        <w:t>a c</w:t>
      </w:r>
      <w:r w:rsidR="0029370B">
        <w:rPr>
          <w:rFonts w:ascii="Calibri" w:hAnsi="Calibri" w:cs="Calibri"/>
          <w:sz w:val="24"/>
          <w:szCs w:val="24"/>
        </w:rPr>
        <w:t>arteira</w:t>
      </w:r>
      <w:r w:rsidR="00AF38A4" w:rsidRPr="00EF6ACA">
        <w:rPr>
          <w:rFonts w:ascii="Calibri" w:hAnsi="Calibri" w:cs="Calibri"/>
          <w:sz w:val="24"/>
          <w:szCs w:val="24"/>
        </w:rPr>
        <w:t xml:space="preserve"> </w:t>
      </w:r>
      <w:r w:rsidRPr="00EF6ACA">
        <w:rPr>
          <w:rFonts w:ascii="Calibri" w:hAnsi="Calibri" w:cs="Calibri"/>
          <w:sz w:val="24"/>
          <w:szCs w:val="24"/>
        </w:rPr>
        <w:t>em questão, o</w:t>
      </w:r>
      <w:r w:rsidR="0029370B">
        <w:rPr>
          <w:rFonts w:ascii="Calibri" w:hAnsi="Calibri" w:cs="Calibri"/>
          <w:sz w:val="24"/>
          <w:szCs w:val="24"/>
        </w:rPr>
        <w:t xml:space="preserve"> Diretor de Gestão</w:t>
      </w:r>
      <w:r w:rsidRPr="00EF6ACA">
        <w:rPr>
          <w:rFonts w:ascii="Calibri" w:hAnsi="Calibri" w:cs="Calibri"/>
          <w:sz w:val="24"/>
          <w:szCs w:val="24"/>
        </w:rPr>
        <w:t xml:space="preserve"> poderá determinar um novo rateio, desde que seja preservado o tratamento equitativo e mantida a relação de fidúcia para com todos os investidores e carteiras com a mesma estratégia.</w:t>
      </w:r>
    </w:p>
    <w:p w14:paraId="68B76ABD" w14:textId="77777777" w:rsidR="003278AD" w:rsidRPr="00EF6ACA" w:rsidRDefault="003278AD" w:rsidP="00EF6ACA">
      <w:pPr>
        <w:spacing w:after="0" w:line="320" w:lineRule="exact"/>
        <w:ind w:left="705" w:hanging="705"/>
        <w:jc w:val="both"/>
        <w:rPr>
          <w:rFonts w:ascii="Calibri" w:hAnsi="Calibri" w:cs="Calibri"/>
          <w:sz w:val="24"/>
          <w:szCs w:val="24"/>
        </w:rPr>
      </w:pPr>
    </w:p>
    <w:p w14:paraId="50D228C7" w14:textId="1C450979" w:rsidR="003278AD" w:rsidRPr="00EF6ACA" w:rsidRDefault="0029370B" w:rsidP="00EF6ACA">
      <w:pPr>
        <w:spacing w:after="0" w:line="320" w:lineRule="exact"/>
        <w:ind w:left="705" w:hanging="70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</w:t>
      </w:r>
      <w:r w:rsidR="003278AD" w:rsidRPr="00EF6ACA">
        <w:rPr>
          <w:rFonts w:ascii="Calibri" w:hAnsi="Calibri" w:cs="Calibri"/>
          <w:sz w:val="24"/>
          <w:szCs w:val="24"/>
        </w:rPr>
        <w:t>)</w:t>
      </w:r>
      <w:r w:rsidR="003278AD" w:rsidRPr="00EF6ACA">
        <w:rPr>
          <w:rFonts w:ascii="Calibri" w:hAnsi="Calibri" w:cs="Calibri"/>
          <w:sz w:val="24"/>
          <w:szCs w:val="24"/>
        </w:rPr>
        <w:tab/>
        <w:t>Caso a Sociedade tenha que alterar a relação d</w:t>
      </w:r>
      <w:r>
        <w:rPr>
          <w:rFonts w:ascii="Calibri" w:hAnsi="Calibri" w:cs="Calibri"/>
          <w:sz w:val="24"/>
          <w:szCs w:val="24"/>
        </w:rPr>
        <w:t>as carteiras</w:t>
      </w:r>
      <w:r w:rsidR="003278AD" w:rsidRPr="00EF6ACA">
        <w:rPr>
          <w:rFonts w:ascii="Calibri" w:hAnsi="Calibri" w:cs="Calibri"/>
          <w:sz w:val="24"/>
          <w:szCs w:val="24"/>
        </w:rPr>
        <w:t xml:space="preserve"> definid</w:t>
      </w:r>
      <w:r>
        <w:rPr>
          <w:rFonts w:ascii="Calibri" w:hAnsi="Calibri" w:cs="Calibri"/>
          <w:sz w:val="24"/>
          <w:szCs w:val="24"/>
        </w:rPr>
        <w:t>a</w:t>
      </w:r>
      <w:r w:rsidR="003278AD" w:rsidRPr="00EF6ACA">
        <w:rPr>
          <w:rFonts w:ascii="Calibri" w:hAnsi="Calibri" w:cs="Calibri"/>
          <w:sz w:val="24"/>
          <w:szCs w:val="24"/>
        </w:rPr>
        <w:t xml:space="preserve"> para participar do rateio, deverá manter registro e justificativa desta alteração.</w:t>
      </w:r>
    </w:p>
    <w:p w14:paraId="61D8A06B" w14:textId="77777777" w:rsidR="005913F0" w:rsidRPr="00EF6ACA" w:rsidRDefault="005913F0" w:rsidP="00EF6ACA">
      <w:pPr>
        <w:spacing w:after="0" w:line="320" w:lineRule="exact"/>
        <w:rPr>
          <w:rFonts w:ascii="Calibri" w:hAnsi="Calibri" w:cs="Calibri"/>
          <w:color w:val="FF0000"/>
          <w:sz w:val="24"/>
          <w:szCs w:val="24"/>
        </w:rPr>
      </w:pPr>
    </w:p>
    <w:p w14:paraId="1ED7B956" w14:textId="77777777" w:rsidR="00931671" w:rsidRPr="00EF6ACA" w:rsidRDefault="00931671" w:rsidP="00EF6ACA">
      <w:pPr>
        <w:spacing w:after="0" w:line="320" w:lineRule="exact"/>
        <w:jc w:val="both"/>
        <w:rPr>
          <w:rFonts w:ascii="Calibri" w:hAnsi="Calibri" w:cs="Calibri"/>
          <w:sz w:val="24"/>
          <w:szCs w:val="24"/>
        </w:rPr>
      </w:pPr>
      <w:r w:rsidRPr="00EF6ACA">
        <w:rPr>
          <w:rFonts w:ascii="Calibri" w:hAnsi="Calibri" w:cs="Calibri"/>
          <w:sz w:val="24"/>
          <w:szCs w:val="24"/>
        </w:rPr>
        <w:t xml:space="preserve">2.2. A participação em </w:t>
      </w:r>
      <w:proofErr w:type="spellStart"/>
      <w:r w:rsidRPr="00EF6ACA">
        <w:rPr>
          <w:rFonts w:ascii="Calibri" w:hAnsi="Calibri" w:cs="Calibri"/>
          <w:sz w:val="24"/>
          <w:szCs w:val="24"/>
        </w:rPr>
        <w:t>Initial</w:t>
      </w:r>
      <w:proofErr w:type="spellEnd"/>
      <w:r w:rsidRPr="00EF6A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F6ACA">
        <w:rPr>
          <w:rFonts w:ascii="Calibri" w:hAnsi="Calibri" w:cs="Calibri"/>
          <w:sz w:val="24"/>
          <w:szCs w:val="24"/>
        </w:rPr>
        <w:t>Public</w:t>
      </w:r>
      <w:proofErr w:type="spellEnd"/>
      <w:r w:rsidRPr="00EF6A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EF6ACA">
        <w:rPr>
          <w:rFonts w:ascii="Calibri" w:hAnsi="Calibri" w:cs="Calibri"/>
          <w:sz w:val="24"/>
          <w:szCs w:val="24"/>
        </w:rPr>
        <w:t>Offerings</w:t>
      </w:r>
      <w:proofErr w:type="spellEnd"/>
      <w:r w:rsidRPr="00EF6ACA">
        <w:rPr>
          <w:rFonts w:ascii="Calibri" w:hAnsi="Calibri" w:cs="Calibri"/>
          <w:sz w:val="24"/>
          <w:szCs w:val="24"/>
        </w:rPr>
        <w:t xml:space="preserve"> (“</w:t>
      </w:r>
      <w:proofErr w:type="spellStart"/>
      <w:proofErr w:type="gramStart"/>
      <w:r w:rsidRPr="00EF6ACA">
        <w:rPr>
          <w:rFonts w:ascii="Calibri" w:hAnsi="Calibri" w:cs="Calibri"/>
          <w:sz w:val="24"/>
          <w:szCs w:val="24"/>
        </w:rPr>
        <w:t>IPO”s</w:t>
      </w:r>
      <w:proofErr w:type="spellEnd"/>
      <w:proofErr w:type="gramEnd"/>
      <w:r w:rsidRPr="00EF6ACA">
        <w:rPr>
          <w:rFonts w:ascii="Calibri" w:hAnsi="Calibri" w:cs="Calibri"/>
          <w:sz w:val="24"/>
          <w:szCs w:val="24"/>
        </w:rPr>
        <w:t>) deve observar procedimento específico. A participação de cada carteira deve ser previamente alocada, ou seja, o rateio deverá ser definido internamente antes da solicitação de reserva às corretoras para participar na compra de ações de emissão primária.</w:t>
      </w:r>
    </w:p>
    <w:p w14:paraId="37CE7E3E" w14:textId="77777777" w:rsidR="000D7D56" w:rsidRPr="00EF6ACA" w:rsidRDefault="000D7D56" w:rsidP="00EF6ACA">
      <w:pPr>
        <w:spacing w:after="0" w:line="320" w:lineRule="exact"/>
        <w:jc w:val="both"/>
        <w:rPr>
          <w:rFonts w:ascii="Calibri" w:hAnsi="Calibri" w:cs="Calibri"/>
          <w:sz w:val="24"/>
          <w:szCs w:val="24"/>
        </w:rPr>
      </w:pPr>
    </w:p>
    <w:p w14:paraId="54EDE963" w14:textId="77777777" w:rsidR="00931671" w:rsidRPr="00EF6ACA" w:rsidRDefault="00931671" w:rsidP="00EF6ACA">
      <w:pPr>
        <w:spacing w:after="0" w:line="320" w:lineRule="exact"/>
        <w:jc w:val="both"/>
        <w:rPr>
          <w:rFonts w:ascii="Calibri" w:hAnsi="Calibri" w:cs="Calibri"/>
          <w:sz w:val="24"/>
          <w:szCs w:val="24"/>
        </w:rPr>
      </w:pPr>
      <w:r w:rsidRPr="00EF6ACA">
        <w:rPr>
          <w:rFonts w:ascii="Calibri" w:hAnsi="Calibri" w:cs="Calibri"/>
          <w:sz w:val="24"/>
          <w:szCs w:val="24"/>
        </w:rPr>
        <w:t>2.3. Caso a reserva para a compra de ações seja apenas parcialmente atendida, o rateio entre as carteiras deverá ser redefinido antes da data de lançamento do IPO, de acordo com as regras de estoque e alavancagem definidas nas políticas de investimento respectivas.</w:t>
      </w:r>
    </w:p>
    <w:p w14:paraId="6991F102" w14:textId="77777777" w:rsidR="00931671" w:rsidRDefault="00931671" w:rsidP="00EF6ACA">
      <w:pPr>
        <w:spacing w:after="0" w:line="320" w:lineRule="exact"/>
        <w:rPr>
          <w:rFonts w:ascii="Calibri" w:hAnsi="Calibri" w:cs="Calibri"/>
          <w:color w:val="FF0000"/>
          <w:sz w:val="24"/>
          <w:szCs w:val="24"/>
        </w:rPr>
      </w:pPr>
    </w:p>
    <w:p w14:paraId="6AD619D6" w14:textId="77777777" w:rsidR="0029370B" w:rsidRDefault="0029370B" w:rsidP="00EF6ACA">
      <w:pPr>
        <w:spacing w:after="0" w:line="320" w:lineRule="exact"/>
        <w:rPr>
          <w:rFonts w:ascii="Calibri" w:hAnsi="Calibri" w:cs="Calibri"/>
          <w:color w:val="FF0000"/>
          <w:sz w:val="24"/>
          <w:szCs w:val="24"/>
        </w:rPr>
      </w:pPr>
    </w:p>
    <w:p w14:paraId="4403EAE7" w14:textId="77777777" w:rsidR="0029370B" w:rsidRDefault="0029370B" w:rsidP="00EF6ACA">
      <w:pPr>
        <w:spacing w:after="0" w:line="320" w:lineRule="exact"/>
        <w:rPr>
          <w:rFonts w:ascii="Calibri" w:hAnsi="Calibri" w:cs="Calibri"/>
          <w:color w:val="FF0000"/>
          <w:sz w:val="24"/>
          <w:szCs w:val="24"/>
        </w:rPr>
      </w:pPr>
    </w:p>
    <w:p w14:paraId="68F7ECDC" w14:textId="77777777" w:rsidR="0029370B" w:rsidRDefault="0029370B" w:rsidP="00EF6ACA">
      <w:pPr>
        <w:spacing w:after="0" w:line="320" w:lineRule="exact"/>
        <w:rPr>
          <w:rFonts w:ascii="Calibri" w:hAnsi="Calibri" w:cs="Calibri"/>
          <w:color w:val="FF0000"/>
          <w:sz w:val="24"/>
          <w:szCs w:val="24"/>
        </w:rPr>
      </w:pPr>
    </w:p>
    <w:p w14:paraId="5439EFA7" w14:textId="77777777" w:rsidR="0029370B" w:rsidRDefault="0029370B" w:rsidP="00EF6ACA">
      <w:pPr>
        <w:spacing w:after="0" w:line="320" w:lineRule="exact"/>
        <w:rPr>
          <w:rFonts w:ascii="Calibri" w:hAnsi="Calibri" w:cs="Calibri"/>
          <w:color w:val="FF0000"/>
          <w:sz w:val="24"/>
          <w:szCs w:val="24"/>
        </w:rPr>
      </w:pPr>
    </w:p>
    <w:p w14:paraId="4E90F9B8" w14:textId="77777777" w:rsidR="0029370B" w:rsidRPr="00EF6ACA" w:rsidRDefault="0029370B" w:rsidP="00EF6ACA">
      <w:pPr>
        <w:spacing w:after="0" w:line="320" w:lineRule="exact"/>
        <w:rPr>
          <w:rFonts w:ascii="Calibri" w:hAnsi="Calibri" w:cs="Calibri"/>
          <w:color w:val="FF0000"/>
          <w:sz w:val="24"/>
          <w:szCs w:val="24"/>
        </w:rPr>
      </w:pPr>
    </w:p>
    <w:p w14:paraId="1F8EB22C" w14:textId="36509D23" w:rsidR="00D15E67" w:rsidRPr="00EF6ACA" w:rsidRDefault="0039355D" w:rsidP="00EF6ACA">
      <w:pPr>
        <w:spacing w:after="0" w:line="320" w:lineRule="exact"/>
        <w:jc w:val="center"/>
        <w:rPr>
          <w:rFonts w:ascii="Calibri" w:hAnsi="Calibri" w:cs="Calibri"/>
          <w:b/>
          <w:bCs/>
          <w:sz w:val="24"/>
          <w:szCs w:val="24"/>
        </w:rPr>
      </w:pPr>
      <w:r w:rsidRPr="00EF6ACA">
        <w:rPr>
          <w:rFonts w:ascii="Calibri" w:hAnsi="Calibri" w:cs="Calibri"/>
          <w:b/>
          <w:bCs/>
          <w:sz w:val="24"/>
          <w:szCs w:val="24"/>
        </w:rPr>
        <w:t>CAPÍTULO I</w:t>
      </w:r>
      <w:r w:rsidR="005913F0" w:rsidRPr="00EF6ACA">
        <w:rPr>
          <w:rFonts w:ascii="Calibri" w:hAnsi="Calibri" w:cs="Calibri"/>
          <w:b/>
          <w:bCs/>
          <w:sz w:val="24"/>
          <w:szCs w:val="24"/>
        </w:rPr>
        <w:t>II</w:t>
      </w:r>
    </w:p>
    <w:p w14:paraId="07D02A08" w14:textId="2D93DD87" w:rsidR="00D15E67" w:rsidRPr="00EF6ACA" w:rsidRDefault="0039355D" w:rsidP="00EF6ACA">
      <w:pPr>
        <w:spacing w:after="0" w:line="320" w:lineRule="exact"/>
        <w:jc w:val="center"/>
        <w:rPr>
          <w:rFonts w:ascii="Calibri" w:hAnsi="Calibri" w:cs="Calibri"/>
          <w:b/>
          <w:bCs/>
          <w:sz w:val="24"/>
          <w:szCs w:val="24"/>
        </w:rPr>
      </w:pPr>
      <w:r w:rsidRPr="00EF6ACA">
        <w:rPr>
          <w:rFonts w:ascii="Calibri" w:hAnsi="Calibri" w:cs="Calibri"/>
          <w:b/>
          <w:bCs/>
          <w:sz w:val="24"/>
          <w:szCs w:val="24"/>
        </w:rPr>
        <w:t>DAS DISPOSIÇÕES GERAIS</w:t>
      </w:r>
    </w:p>
    <w:p w14:paraId="457690B7" w14:textId="77777777" w:rsidR="00D15E67" w:rsidRPr="00EF6ACA" w:rsidRDefault="00D15E67" w:rsidP="00EF6ACA">
      <w:pPr>
        <w:spacing w:after="0" w:line="320" w:lineRule="exact"/>
        <w:jc w:val="both"/>
        <w:rPr>
          <w:rFonts w:ascii="Calibri" w:hAnsi="Calibri" w:cs="Calibri"/>
          <w:sz w:val="24"/>
          <w:szCs w:val="24"/>
        </w:rPr>
      </w:pPr>
    </w:p>
    <w:p w14:paraId="5D7BC8FB" w14:textId="360DB64D" w:rsidR="00D15E67" w:rsidRPr="00EF6ACA" w:rsidRDefault="005913F0" w:rsidP="00EF6ACA">
      <w:pPr>
        <w:spacing w:after="0" w:line="320" w:lineRule="exact"/>
        <w:jc w:val="both"/>
        <w:rPr>
          <w:rFonts w:ascii="Calibri" w:hAnsi="Calibri" w:cs="Calibri"/>
          <w:sz w:val="24"/>
          <w:szCs w:val="24"/>
        </w:rPr>
      </w:pPr>
      <w:r w:rsidRPr="00EF6ACA">
        <w:rPr>
          <w:rFonts w:ascii="Calibri" w:hAnsi="Calibri" w:cs="Calibri"/>
          <w:sz w:val="24"/>
          <w:szCs w:val="24"/>
        </w:rPr>
        <w:t>3</w:t>
      </w:r>
      <w:r w:rsidR="00952A1A" w:rsidRPr="00EF6ACA">
        <w:rPr>
          <w:rFonts w:ascii="Calibri" w:hAnsi="Calibri" w:cs="Calibri"/>
          <w:sz w:val="24"/>
          <w:szCs w:val="24"/>
        </w:rPr>
        <w:t xml:space="preserve">.1. </w:t>
      </w:r>
      <w:r w:rsidR="0039355D" w:rsidRPr="00EF6ACA">
        <w:rPr>
          <w:rFonts w:ascii="Calibri" w:hAnsi="Calibri" w:cs="Calibri"/>
          <w:sz w:val="24"/>
          <w:szCs w:val="24"/>
        </w:rPr>
        <w:t>Todas as decisões tomadas no âmbito desta Política serão objeto de formalização em conjunto com as respectivas justificativas, e arquivadas na sede da Sociedade pelo período mínimo de 5 (cinco) anos</w:t>
      </w:r>
      <w:r w:rsidR="00931671" w:rsidRPr="00EF6ACA">
        <w:rPr>
          <w:rFonts w:ascii="Calibri" w:hAnsi="Calibri" w:cs="Calibri"/>
          <w:sz w:val="24"/>
          <w:szCs w:val="24"/>
        </w:rPr>
        <w:t>.</w:t>
      </w:r>
    </w:p>
    <w:p w14:paraId="699CF419" w14:textId="77777777" w:rsidR="00931671" w:rsidRPr="00EF6ACA" w:rsidRDefault="00931671" w:rsidP="00EF6ACA">
      <w:pPr>
        <w:spacing w:after="0" w:line="320" w:lineRule="exact"/>
        <w:jc w:val="both"/>
        <w:rPr>
          <w:rFonts w:ascii="Calibri" w:hAnsi="Calibri" w:cs="Calibri"/>
          <w:sz w:val="24"/>
          <w:szCs w:val="24"/>
        </w:rPr>
      </w:pPr>
    </w:p>
    <w:p w14:paraId="1417B7B7" w14:textId="77777777" w:rsidR="00931671" w:rsidRPr="00EF6ACA" w:rsidRDefault="00931671" w:rsidP="00EF6ACA">
      <w:pPr>
        <w:spacing w:after="0" w:line="320" w:lineRule="exact"/>
        <w:jc w:val="both"/>
        <w:rPr>
          <w:rFonts w:ascii="Calibri" w:hAnsi="Calibri" w:cs="Calibri"/>
          <w:sz w:val="24"/>
          <w:szCs w:val="24"/>
        </w:rPr>
      </w:pPr>
      <w:r w:rsidRPr="00EF6ACA">
        <w:rPr>
          <w:rFonts w:ascii="Calibri" w:hAnsi="Calibri" w:cs="Calibri"/>
          <w:sz w:val="24"/>
          <w:szCs w:val="24"/>
        </w:rPr>
        <w:t>3.2. A presente Política prevalece sobre quaisquer entendimentos orais ou escritos anteriores, obrigando os colaboradores da Sociedade aos seus termos e condições.</w:t>
      </w:r>
    </w:p>
    <w:p w14:paraId="6CEF9D47" w14:textId="77777777" w:rsidR="00931671" w:rsidRPr="00EF6ACA" w:rsidRDefault="00931671" w:rsidP="00EF6ACA">
      <w:pPr>
        <w:spacing w:after="0" w:line="320" w:lineRule="exact"/>
        <w:jc w:val="both"/>
        <w:rPr>
          <w:rFonts w:ascii="Calibri" w:hAnsi="Calibri" w:cs="Calibri"/>
          <w:sz w:val="24"/>
          <w:szCs w:val="24"/>
        </w:rPr>
      </w:pPr>
    </w:p>
    <w:p w14:paraId="3F7196AB" w14:textId="77777777" w:rsidR="00931671" w:rsidRPr="00EF6ACA" w:rsidRDefault="00931671" w:rsidP="00EF6ACA">
      <w:pPr>
        <w:spacing w:after="0" w:line="320" w:lineRule="exact"/>
        <w:jc w:val="both"/>
        <w:rPr>
          <w:rFonts w:ascii="Calibri" w:hAnsi="Calibri" w:cs="Calibri"/>
          <w:sz w:val="24"/>
          <w:szCs w:val="24"/>
        </w:rPr>
      </w:pPr>
      <w:r w:rsidRPr="00EF6ACA">
        <w:rPr>
          <w:rFonts w:ascii="Calibri" w:hAnsi="Calibri" w:cs="Calibri"/>
          <w:sz w:val="24"/>
          <w:szCs w:val="24"/>
        </w:rPr>
        <w:t>3.3.  Esta Política será revisada a cada 2 (dois) anos, sendo mantido o controle das versões, e será protocolada no SSM ANBIMA dentro do prazo de 15 (quinze) dias após a sua aprovação pela Diretoria.</w:t>
      </w:r>
    </w:p>
    <w:p w14:paraId="03ADEAED" w14:textId="77777777" w:rsidR="00931671" w:rsidRPr="00EF6ACA" w:rsidRDefault="00931671" w:rsidP="00EF6ACA">
      <w:pPr>
        <w:spacing w:after="0" w:line="320" w:lineRule="exact"/>
        <w:jc w:val="both"/>
        <w:rPr>
          <w:rFonts w:ascii="Calibri" w:hAnsi="Calibri" w:cs="Calibri"/>
          <w:sz w:val="24"/>
          <w:szCs w:val="24"/>
        </w:rPr>
      </w:pPr>
    </w:p>
    <w:p w14:paraId="421A408B" w14:textId="2C4DE986" w:rsidR="00931671" w:rsidRPr="00EF6ACA" w:rsidRDefault="00931671" w:rsidP="00EF6ACA">
      <w:pPr>
        <w:spacing w:after="0" w:line="320" w:lineRule="exact"/>
        <w:jc w:val="both"/>
        <w:rPr>
          <w:rFonts w:ascii="Calibri" w:hAnsi="Calibri" w:cs="Calibri"/>
          <w:sz w:val="24"/>
          <w:szCs w:val="24"/>
        </w:rPr>
      </w:pPr>
      <w:r w:rsidRPr="00EF6ACA">
        <w:rPr>
          <w:rFonts w:ascii="Calibri" w:hAnsi="Calibri" w:cs="Calibri"/>
          <w:sz w:val="24"/>
          <w:szCs w:val="24"/>
        </w:rPr>
        <w:t xml:space="preserve">3.4. A título de </w:t>
      </w:r>
      <w:proofErr w:type="spellStart"/>
      <w:r w:rsidRPr="00EF6ACA">
        <w:rPr>
          <w:rFonts w:ascii="Calibri" w:hAnsi="Calibri" w:cs="Calibri"/>
          <w:i/>
          <w:sz w:val="24"/>
          <w:szCs w:val="24"/>
        </w:rPr>
        <w:t>enforcement</w:t>
      </w:r>
      <w:proofErr w:type="spellEnd"/>
      <w:r w:rsidRPr="00EF6ACA">
        <w:rPr>
          <w:rFonts w:ascii="Calibri" w:hAnsi="Calibri" w:cs="Calibri"/>
          <w:sz w:val="24"/>
          <w:szCs w:val="24"/>
        </w:rPr>
        <w:t>, vale notar que a não observância dos dispositivos desta Política resultará em advertência, suspensão, ou demissão/exclusão por justa causa, conforme a gravidade e a reincidência na violação, sem prejuízo das penalidades civis e criminais.</w:t>
      </w:r>
    </w:p>
    <w:p w14:paraId="41DE9C1C" w14:textId="77777777" w:rsidR="00931671" w:rsidRPr="00EF6ACA" w:rsidRDefault="00931671" w:rsidP="00EF6ACA">
      <w:pPr>
        <w:spacing w:after="0" w:line="320" w:lineRule="exact"/>
        <w:jc w:val="both"/>
        <w:rPr>
          <w:rFonts w:ascii="Calibri" w:hAnsi="Calibri" w:cs="Calibri"/>
          <w:sz w:val="24"/>
          <w:szCs w:val="24"/>
        </w:rPr>
      </w:pPr>
    </w:p>
    <w:sectPr w:rsidR="00931671" w:rsidRPr="00EF6ACA" w:rsidSect="000D7D56">
      <w:footerReference w:type="default" r:id="rId6"/>
      <w:pgSz w:w="11906" w:h="16838"/>
      <w:pgMar w:top="993" w:right="991" w:bottom="1417" w:left="993" w:header="708" w:footer="3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6FEB3" w14:textId="77777777" w:rsidR="00AF38A4" w:rsidRDefault="00AF38A4" w:rsidP="00AF38A4">
      <w:pPr>
        <w:spacing w:after="0" w:line="240" w:lineRule="auto"/>
      </w:pPr>
      <w:r>
        <w:separator/>
      </w:r>
    </w:p>
  </w:endnote>
  <w:endnote w:type="continuationSeparator" w:id="0">
    <w:p w14:paraId="6FA47A06" w14:textId="77777777" w:rsidR="00AF38A4" w:rsidRDefault="00AF38A4" w:rsidP="00AF3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altName w:val="Times New Roman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39A5B" w14:textId="6D7ED98E" w:rsidR="00AF38A4" w:rsidRPr="000D7D56" w:rsidRDefault="00AF38A4" w:rsidP="000D7D56">
    <w:pPr>
      <w:spacing w:after="0" w:line="320" w:lineRule="exact"/>
      <w:rPr>
        <w:rFonts w:cstheme="minorHAnsi"/>
        <w:sz w:val="20"/>
        <w:szCs w:val="20"/>
      </w:rPr>
    </w:pPr>
    <w:r w:rsidRPr="00AF38A4">
      <w:rPr>
        <w:rFonts w:cstheme="minorHAnsi"/>
        <w:bCs/>
        <w:sz w:val="20"/>
        <w:szCs w:val="20"/>
      </w:rPr>
      <w:t>Versão vigente</w:t>
    </w:r>
    <w:r w:rsidRPr="00AF38A4">
      <w:rPr>
        <w:rFonts w:cstheme="minorHAnsi"/>
        <w:sz w:val="20"/>
        <w:szCs w:val="20"/>
      </w:rPr>
      <w:t xml:space="preserve">: </w:t>
    </w:r>
    <w:r w:rsidR="000D7D56">
      <w:rPr>
        <w:rFonts w:cstheme="minorHAnsi"/>
        <w:sz w:val="20"/>
        <w:szCs w:val="20"/>
      </w:rPr>
      <w:t>16/06/2026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C98D6" w14:textId="77777777" w:rsidR="00AF38A4" w:rsidRDefault="00AF38A4" w:rsidP="00AF38A4">
      <w:pPr>
        <w:spacing w:after="0" w:line="240" w:lineRule="auto"/>
      </w:pPr>
      <w:r>
        <w:separator/>
      </w:r>
    </w:p>
  </w:footnote>
  <w:footnote w:type="continuationSeparator" w:id="0">
    <w:p w14:paraId="15FB7DF5" w14:textId="77777777" w:rsidR="00AF38A4" w:rsidRDefault="00AF38A4" w:rsidP="00AF38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E67"/>
    <w:rsid w:val="000820E4"/>
    <w:rsid w:val="000D7D56"/>
    <w:rsid w:val="001015D4"/>
    <w:rsid w:val="001367D8"/>
    <w:rsid w:val="001923F5"/>
    <w:rsid w:val="001C664A"/>
    <w:rsid w:val="0029370B"/>
    <w:rsid w:val="002B60D4"/>
    <w:rsid w:val="002F412D"/>
    <w:rsid w:val="003278AD"/>
    <w:rsid w:val="0039355D"/>
    <w:rsid w:val="00397BA9"/>
    <w:rsid w:val="005913F0"/>
    <w:rsid w:val="00591FD5"/>
    <w:rsid w:val="00597789"/>
    <w:rsid w:val="005D1CD6"/>
    <w:rsid w:val="006E58BF"/>
    <w:rsid w:val="00931671"/>
    <w:rsid w:val="00952A1A"/>
    <w:rsid w:val="00A361A5"/>
    <w:rsid w:val="00A57C9B"/>
    <w:rsid w:val="00AF38A4"/>
    <w:rsid w:val="00C035ED"/>
    <w:rsid w:val="00C136D2"/>
    <w:rsid w:val="00CB369E"/>
    <w:rsid w:val="00D15E67"/>
    <w:rsid w:val="00DB6348"/>
    <w:rsid w:val="00DC46D5"/>
    <w:rsid w:val="00DC4B14"/>
    <w:rsid w:val="00EF6ACA"/>
    <w:rsid w:val="00F6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F1D928"/>
  <w15:chartTrackingRefBased/>
  <w15:docId w15:val="{73CA4F64-0324-467D-B36A-DE77B3AAB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913F0"/>
    <w:pPr>
      <w:ind w:left="720"/>
      <w:contextualSpacing/>
    </w:pPr>
  </w:style>
  <w:style w:type="paragraph" w:customStyle="1" w:styleId="Default">
    <w:name w:val="Default"/>
    <w:rsid w:val="005913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F38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38A4"/>
  </w:style>
  <w:style w:type="paragraph" w:styleId="Rodap">
    <w:name w:val="footer"/>
    <w:basedOn w:val="Normal"/>
    <w:link w:val="RodapChar"/>
    <w:uiPriority w:val="99"/>
    <w:unhideWhenUsed/>
    <w:rsid w:val="00AF38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38A4"/>
  </w:style>
  <w:style w:type="character" w:customStyle="1" w:styleId="CorpodetextoChar">
    <w:name w:val="Corpo de texto Char"/>
    <w:basedOn w:val="Fontepargpadro"/>
    <w:link w:val="Corpodetexto"/>
    <w:qFormat/>
    <w:rsid w:val="000D7D56"/>
    <w:rPr>
      <w:rFonts w:ascii="ZapfHumnst BT" w:eastAsia="Times New Roman" w:hAnsi="ZapfHumnst BT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0D7D56"/>
    <w:pPr>
      <w:spacing w:after="120" w:line="240" w:lineRule="auto"/>
    </w:pPr>
    <w:rPr>
      <w:rFonts w:ascii="ZapfHumnst BT" w:eastAsia="Times New Roman" w:hAnsi="ZapfHumnst BT" w:cs="Times New Roman"/>
      <w:sz w:val="20"/>
      <w:szCs w:val="20"/>
      <w:lang w:eastAsia="pt-BR"/>
    </w:rPr>
  </w:style>
  <w:style w:type="character" w:customStyle="1" w:styleId="CorpodetextoChar1">
    <w:name w:val="Corpo de texto Char1"/>
    <w:basedOn w:val="Fontepargpadro"/>
    <w:uiPriority w:val="99"/>
    <w:semiHidden/>
    <w:rsid w:val="000D7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902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Caryne A. C.</dc:creator>
  <cp:keywords/>
  <dc:description/>
  <cp:lastModifiedBy>Benzecry e Pitta Advocacia Especializada</cp:lastModifiedBy>
  <cp:revision>3</cp:revision>
  <dcterms:created xsi:type="dcterms:W3CDTF">2026-06-16T13:30:00Z</dcterms:created>
  <dcterms:modified xsi:type="dcterms:W3CDTF">2026-06-16T14:23:00Z</dcterms:modified>
</cp:coreProperties>
</file>