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10362" w14:textId="77777777" w:rsidR="00486917" w:rsidRPr="00461572" w:rsidRDefault="00486917" w:rsidP="00461572">
      <w:pPr>
        <w:pStyle w:val="Ttulo1"/>
        <w:spacing w:before="0" w:after="0" w:line="300" w:lineRule="exact"/>
        <w:ind w:firstLine="0"/>
        <w:rPr>
          <w:rFonts w:asciiTheme="minorHAnsi" w:hAnsiTheme="minorHAnsi" w:cstheme="minorHAnsi"/>
          <w:szCs w:val="24"/>
          <w:u w:val="single"/>
        </w:rPr>
      </w:pPr>
      <w:bookmarkStart w:id="0" w:name="_Toc498021589"/>
      <w:bookmarkStart w:id="1" w:name="_Hlk526873124"/>
      <w:r w:rsidRPr="00B06AA2">
        <w:rPr>
          <w:rFonts w:asciiTheme="minorHAnsi" w:hAnsiTheme="minorHAnsi" w:cstheme="minorHAnsi"/>
          <w:b/>
          <w:caps/>
          <w:szCs w:val="24"/>
          <w:u w:val="single"/>
        </w:rPr>
        <w:t>MANUAL OPERACIONAL DE APREÇAMENTO DE ATIVOS FIN</w:t>
      </w:r>
      <w:r w:rsidRPr="00461572">
        <w:rPr>
          <w:rFonts w:asciiTheme="minorHAnsi" w:hAnsiTheme="minorHAnsi" w:cstheme="minorHAnsi"/>
          <w:b/>
          <w:caps/>
          <w:szCs w:val="24"/>
          <w:u w:val="single"/>
        </w:rPr>
        <w:t>ANCEIROS</w:t>
      </w:r>
    </w:p>
    <w:p w14:paraId="0B6BAC35" w14:textId="1E1E76B9" w:rsidR="00486917" w:rsidRPr="00461572" w:rsidRDefault="00461572" w:rsidP="00461572">
      <w:pPr>
        <w:spacing w:after="0" w:line="300" w:lineRule="exact"/>
        <w:jc w:val="center"/>
        <w:rPr>
          <w:rFonts w:cstheme="minorHAnsi"/>
          <w:b/>
          <w:sz w:val="24"/>
          <w:szCs w:val="24"/>
          <w:u w:val="single"/>
        </w:rPr>
      </w:pPr>
      <w:bookmarkStart w:id="2" w:name="_Hlk170121858"/>
      <w:r w:rsidRPr="00461572">
        <w:rPr>
          <w:rFonts w:cstheme="minorHAnsi"/>
          <w:b/>
          <w:bCs/>
          <w:sz w:val="24"/>
          <w:szCs w:val="24"/>
          <w:u w:val="single"/>
        </w:rPr>
        <w:t>W. ADVISORS - ENGENHARIA FINANCEIRA LTDA.</w:t>
      </w:r>
      <w:bookmarkEnd w:id="2"/>
    </w:p>
    <w:p w14:paraId="3CBA2C6B" w14:textId="77777777" w:rsidR="00486917" w:rsidRPr="00B06AA2" w:rsidRDefault="00486917" w:rsidP="00461572">
      <w:pPr>
        <w:autoSpaceDE w:val="0"/>
        <w:autoSpaceDN w:val="0"/>
        <w:adjustRightInd w:val="0"/>
        <w:spacing w:after="0" w:line="300" w:lineRule="exact"/>
        <w:jc w:val="center"/>
        <w:rPr>
          <w:rFonts w:eastAsia="Times New Roman" w:cstheme="minorHAnsi"/>
          <w:bCs/>
          <w:sz w:val="24"/>
          <w:szCs w:val="24"/>
          <w:u w:color="FF0000"/>
          <w:lang w:eastAsia="pt-BR"/>
        </w:rPr>
      </w:pPr>
      <w:r w:rsidRPr="00B06AA2">
        <w:rPr>
          <w:rFonts w:eastAsia="Times New Roman" w:cstheme="minorHAnsi"/>
          <w:bCs/>
          <w:sz w:val="24"/>
          <w:szCs w:val="24"/>
          <w:u w:color="FF0000"/>
          <w:lang w:eastAsia="pt-BR"/>
        </w:rPr>
        <w:t xml:space="preserve"> (“Sociedade”)</w:t>
      </w:r>
    </w:p>
    <w:p w14:paraId="39DBD2F9" w14:textId="77777777" w:rsidR="00014682" w:rsidRPr="00B06AA2" w:rsidRDefault="00014682" w:rsidP="00461572">
      <w:pPr>
        <w:spacing w:after="0" w:line="300" w:lineRule="exact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14:paraId="338FD5A5" w14:textId="77777777" w:rsidR="00486917" w:rsidRPr="00B06AA2" w:rsidRDefault="00486917" w:rsidP="00461572">
      <w:pPr>
        <w:pStyle w:val="Ttulo2"/>
        <w:spacing w:before="0" w:line="300" w:lineRule="exact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t-BR"/>
        </w:rPr>
      </w:pPr>
      <w:bookmarkStart w:id="3" w:name="_Toc498021574"/>
      <w:r w:rsidRPr="00B06AA2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t-BR"/>
        </w:rPr>
        <w:t>1. Introdução</w:t>
      </w:r>
      <w:bookmarkEnd w:id="3"/>
    </w:p>
    <w:p w14:paraId="3003D6E3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B06AA2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</w:p>
    <w:p w14:paraId="1E5781EE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eastAsia="Times New Roman" w:cstheme="minorHAnsi"/>
          <w:sz w:val="24"/>
          <w:szCs w:val="24"/>
          <w:lang w:eastAsia="pt-BR"/>
        </w:rPr>
        <w:t>O presente Manual Operacional de Apreçamento de Ativos Financeiros visa definir os critérios e procedimentos para apreçamento dos ativos financeiros integrantes das carteiras administradas pela Sociedade.</w:t>
      </w:r>
    </w:p>
    <w:p w14:paraId="1E205B88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A64429A" w14:textId="14BE7877" w:rsidR="00486917" w:rsidRPr="00B06AA2" w:rsidRDefault="0000016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cstheme="minorHAnsi"/>
          <w:sz w:val="24"/>
          <w:szCs w:val="24"/>
        </w:rPr>
        <w:t>A Sociedade realiza o apreçamento dos ativos financeiros integrantes das carteiras por ela administradas, via de regra, a valor justo. No entanto, c</w:t>
      </w:r>
      <w:r w:rsidR="00995DC6">
        <w:rPr>
          <w:rFonts w:cstheme="minorHAnsi"/>
          <w:sz w:val="24"/>
          <w:szCs w:val="24"/>
        </w:rPr>
        <w:t xml:space="preserve">aso solicitado pelo cliente </w:t>
      </w:r>
      <w:r w:rsidR="002F549B">
        <w:rPr>
          <w:rFonts w:cstheme="minorHAnsi"/>
          <w:sz w:val="24"/>
          <w:szCs w:val="24"/>
        </w:rPr>
        <w:t xml:space="preserve">qualificado ou profissional </w:t>
      </w:r>
      <w:r w:rsidR="00995DC6">
        <w:rPr>
          <w:rFonts w:cstheme="minorHAnsi"/>
          <w:sz w:val="24"/>
          <w:szCs w:val="24"/>
        </w:rPr>
        <w:t xml:space="preserve">e </w:t>
      </w:r>
      <w:r w:rsidR="00995DC6" w:rsidRPr="00B06AA2">
        <w:rPr>
          <w:rFonts w:eastAsia="Times New Roman" w:cstheme="minorHAnsi"/>
          <w:sz w:val="24"/>
          <w:szCs w:val="24"/>
          <w:lang w:eastAsia="pt-BR"/>
        </w:rPr>
        <w:t>desde que previst</w:t>
      </w:r>
      <w:r w:rsidR="00995DC6">
        <w:rPr>
          <w:rFonts w:eastAsia="Times New Roman" w:cstheme="minorHAnsi"/>
          <w:sz w:val="24"/>
          <w:szCs w:val="24"/>
          <w:lang w:eastAsia="pt-BR"/>
        </w:rPr>
        <w:t>o</w:t>
      </w:r>
      <w:r w:rsidR="00995DC6" w:rsidRPr="00B06AA2">
        <w:rPr>
          <w:rFonts w:eastAsia="Times New Roman" w:cstheme="minorHAnsi"/>
          <w:sz w:val="24"/>
          <w:szCs w:val="24"/>
          <w:lang w:eastAsia="pt-BR"/>
        </w:rPr>
        <w:t xml:space="preserve"> expressamente em Contrato</w:t>
      </w:r>
      <w:r w:rsidR="00995DC6">
        <w:rPr>
          <w:rFonts w:eastAsia="Times New Roman" w:cstheme="minorHAnsi"/>
          <w:sz w:val="24"/>
          <w:szCs w:val="24"/>
          <w:lang w:eastAsia="pt-BR"/>
        </w:rPr>
        <w:t xml:space="preserve">, a Sociedade poderá </w:t>
      </w:r>
      <w:r w:rsidR="002F549B">
        <w:rPr>
          <w:rFonts w:eastAsia="Times New Roman" w:cstheme="minorHAnsi"/>
          <w:sz w:val="24"/>
          <w:szCs w:val="24"/>
          <w:lang w:eastAsia="pt-BR"/>
        </w:rPr>
        <w:t>promover</w:t>
      </w:r>
      <w:r w:rsidR="00486917" w:rsidRPr="00461572">
        <w:rPr>
          <w:rFonts w:eastAsia="Times New Roman" w:cstheme="minorHAnsi"/>
          <w:sz w:val="24"/>
          <w:szCs w:val="24"/>
          <w:lang w:eastAsia="pt-BR"/>
        </w:rPr>
        <w:t xml:space="preserve"> o apreçamento de ativos financeiros</w:t>
      </w:r>
      <w:r w:rsidR="00014682" w:rsidRPr="0046157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86917" w:rsidRPr="00461572">
        <w:rPr>
          <w:rFonts w:eastAsia="Times New Roman" w:cstheme="minorHAnsi"/>
          <w:sz w:val="24"/>
          <w:szCs w:val="24"/>
          <w:lang w:eastAsia="pt-BR"/>
        </w:rPr>
        <w:t>na curva</w:t>
      </w:r>
      <w:r w:rsidRPr="00B06AA2">
        <w:rPr>
          <w:rFonts w:eastAsia="Times New Roman" w:cstheme="minorHAnsi"/>
          <w:sz w:val="24"/>
          <w:szCs w:val="24"/>
          <w:lang w:eastAsia="pt-BR"/>
        </w:rPr>
        <w:t>.</w:t>
      </w:r>
    </w:p>
    <w:p w14:paraId="535BF1C0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9562A7F" w14:textId="596A1EB4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eastAsia="Times New Roman" w:cstheme="minorHAnsi"/>
          <w:sz w:val="24"/>
          <w:szCs w:val="24"/>
          <w:lang w:eastAsia="pt-BR"/>
        </w:rPr>
        <w:t>A responsabilidade pela implementação dos procedimentos de apreçamento é da equipe de Compliance</w:t>
      </w:r>
      <w:r w:rsidR="00006628" w:rsidRPr="00B06AA2">
        <w:rPr>
          <w:rFonts w:eastAsia="Times New Roman" w:cstheme="minorHAnsi"/>
          <w:sz w:val="24"/>
          <w:szCs w:val="24"/>
          <w:lang w:eastAsia="pt-BR"/>
        </w:rPr>
        <w:t>, a qual possui total independência para o desempenho das suas funções e tomada de decisão na sua esfera de atuação, sem qualquer subordinação às demais áreas da Sociedade.</w:t>
      </w:r>
    </w:p>
    <w:p w14:paraId="49A8F226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15E757E" w14:textId="77777777" w:rsidR="00486917" w:rsidRPr="00B06AA2" w:rsidRDefault="00486917" w:rsidP="00461572">
      <w:pPr>
        <w:spacing w:after="0" w:line="300" w:lineRule="exact"/>
        <w:rPr>
          <w:rFonts w:eastAsia="Times New Roman" w:cstheme="minorHAnsi"/>
          <w:sz w:val="24"/>
          <w:szCs w:val="24"/>
          <w:lang w:eastAsia="pt-BR"/>
        </w:rPr>
      </w:pPr>
      <w:bookmarkStart w:id="4" w:name="_Hlk209532313"/>
      <w:r w:rsidRPr="00B06AA2">
        <w:rPr>
          <w:rFonts w:eastAsia="Times New Roman" w:cstheme="minorHAnsi"/>
          <w:b/>
          <w:sz w:val="24"/>
          <w:szCs w:val="24"/>
          <w:lang w:eastAsia="pt-BR"/>
        </w:rPr>
        <w:t>2. Metodologia para Apreçamento</w:t>
      </w:r>
    </w:p>
    <w:p w14:paraId="4FCE4CDF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867E8A5" w14:textId="6406BC72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eastAsia="Times New Roman" w:cstheme="minorHAnsi"/>
          <w:sz w:val="24"/>
          <w:szCs w:val="24"/>
          <w:lang w:eastAsia="pt-BR"/>
        </w:rPr>
        <w:t>A Sociedade realiza a gestão de ativos financeiros exclusivamente por meio de mercados organizados, de modo que a precificação do ativo adquirido é definida pela entidade responsável pela autorregulação dos mercados organizados de valores mobiliários.</w:t>
      </w:r>
    </w:p>
    <w:p w14:paraId="0554CF6C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FF11E12" w14:textId="58F9877A" w:rsidR="00000164" w:rsidRPr="00B06AA2" w:rsidRDefault="0000016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5" w:name="_Hlk209532033"/>
      <w:r w:rsidRPr="00B06AA2">
        <w:rPr>
          <w:rFonts w:eastAsia="Times New Roman" w:cstheme="minorHAnsi"/>
          <w:sz w:val="24"/>
          <w:szCs w:val="24"/>
          <w:lang w:eastAsia="pt-BR"/>
        </w:rPr>
        <w:t xml:space="preserve">São utilizados dados de preços dos mercados organizados (B3), referências de mercado (ANBIMA), </w:t>
      </w:r>
      <w:r w:rsidR="00461572">
        <w:rPr>
          <w:rFonts w:eastAsia="Times New Roman" w:cstheme="minorHAnsi"/>
          <w:sz w:val="24"/>
          <w:szCs w:val="24"/>
          <w:lang w:eastAsia="pt-BR"/>
        </w:rPr>
        <w:t>a</w:t>
      </w:r>
      <w:r w:rsidRPr="00B06AA2">
        <w:rPr>
          <w:rFonts w:eastAsia="Times New Roman" w:cstheme="minorHAnsi"/>
          <w:sz w:val="24"/>
          <w:szCs w:val="24"/>
          <w:lang w:eastAsia="pt-BR"/>
        </w:rPr>
        <w:t xml:space="preserve">dministradores </w:t>
      </w:r>
      <w:r w:rsidR="00461572">
        <w:rPr>
          <w:rFonts w:eastAsia="Times New Roman" w:cstheme="minorHAnsi"/>
          <w:sz w:val="24"/>
          <w:szCs w:val="24"/>
          <w:lang w:eastAsia="pt-BR"/>
        </w:rPr>
        <w:t>f</w:t>
      </w:r>
      <w:r w:rsidRPr="00B06AA2">
        <w:rPr>
          <w:rFonts w:eastAsia="Times New Roman" w:cstheme="minorHAnsi"/>
          <w:sz w:val="24"/>
          <w:szCs w:val="24"/>
          <w:lang w:eastAsia="pt-BR"/>
        </w:rPr>
        <w:t>iduciários de Fundos inv</w:t>
      </w:r>
      <w:r w:rsidR="0012439C" w:rsidRPr="00B06AA2">
        <w:rPr>
          <w:rFonts w:eastAsia="Times New Roman" w:cstheme="minorHAnsi"/>
          <w:sz w:val="24"/>
          <w:szCs w:val="24"/>
          <w:lang w:eastAsia="pt-BR"/>
        </w:rPr>
        <w:t>estidos ou de Bancos que sejam c</w:t>
      </w:r>
      <w:r w:rsidRPr="00B06AA2">
        <w:rPr>
          <w:rFonts w:eastAsia="Times New Roman" w:cstheme="minorHAnsi"/>
          <w:sz w:val="24"/>
          <w:szCs w:val="24"/>
          <w:lang w:eastAsia="pt-BR"/>
        </w:rPr>
        <w:t xml:space="preserve">ontraparte de operações de </w:t>
      </w:r>
      <w:r w:rsidR="00461572">
        <w:rPr>
          <w:rFonts w:eastAsia="Times New Roman" w:cstheme="minorHAnsi"/>
          <w:sz w:val="24"/>
          <w:szCs w:val="24"/>
          <w:lang w:eastAsia="pt-BR"/>
        </w:rPr>
        <w:t>d</w:t>
      </w:r>
      <w:r w:rsidRPr="00B06AA2">
        <w:rPr>
          <w:rFonts w:eastAsia="Times New Roman" w:cstheme="minorHAnsi"/>
          <w:sz w:val="24"/>
          <w:szCs w:val="24"/>
          <w:lang w:eastAsia="pt-BR"/>
        </w:rPr>
        <w:t xml:space="preserve">erivativos de </w:t>
      </w:r>
      <w:r w:rsidR="00461572">
        <w:rPr>
          <w:rFonts w:eastAsia="Times New Roman" w:cstheme="minorHAnsi"/>
          <w:sz w:val="24"/>
          <w:szCs w:val="24"/>
          <w:lang w:eastAsia="pt-BR"/>
        </w:rPr>
        <w:t>b</w:t>
      </w:r>
      <w:r w:rsidRPr="00B06AA2">
        <w:rPr>
          <w:rFonts w:eastAsia="Times New Roman" w:cstheme="minorHAnsi"/>
          <w:sz w:val="24"/>
          <w:szCs w:val="24"/>
          <w:lang w:eastAsia="pt-BR"/>
        </w:rPr>
        <w:t>alcão. Para estes ativos, os quais o preço não e</w:t>
      </w:r>
      <w:r w:rsidR="0012439C" w:rsidRPr="00B06AA2">
        <w:rPr>
          <w:rFonts w:eastAsia="Times New Roman" w:cstheme="minorHAnsi"/>
          <w:sz w:val="24"/>
          <w:szCs w:val="24"/>
          <w:lang w:eastAsia="pt-BR"/>
        </w:rPr>
        <w:t xml:space="preserve">xige tratamento, tais como </w:t>
      </w:r>
      <w:r w:rsidRPr="00B06AA2">
        <w:rPr>
          <w:rFonts w:eastAsia="Times New Roman" w:cstheme="minorHAnsi"/>
          <w:sz w:val="24"/>
          <w:szCs w:val="24"/>
          <w:lang w:eastAsia="pt-BR"/>
        </w:rPr>
        <w:t>ações</w:t>
      </w:r>
      <w:r w:rsidR="0012439C" w:rsidRPr="00B06AA2">
        <w:rPr>
          <w:rFonts w:eastAsia="Times New Roman" w:cstheme="minorHAnsi"/>
          <w:sz w:val="24"/>
          <w:szCs w:val="24"/>
          <w:lang w:eastAsia="pt-BR"/>
        </w:rPr>
        <w:t xml:space="preserve"> listadas e negociadas em bolsa</w:t>
      </w:r>
      <w:r w:rsidRPr="00B06AA2">
        <w:rPr>
          <w:rFonts w:eastAsia="Times New Roman" w:cstheme="minorHAnsi"/>
          <w:sz w:val="24"/>
          <w:szCs w:val="24"/>
          <w:lang w:eastAsia="pt-BR"/>
        </w:rPr>
        <w:t>, o preço considerado é o mesmo divulgad</w:t>
      </w:r>
      <w:r w:rsidR="003A7300" w:rsidRPr="00B06AA2">
        <w:rPr>
          <w:rFonts w:eastAsia="Times New Roman" w:cstheme="minorHAnsi"/>
          <w:sz w:val="24"/>
          <w:szCs w:val="24"/>
          <w:lang w:eastAsia="pt-BR"/>
        </w:rPr>
        <w:t xml:space="preserve">o pela fonte da informação. </w:t>
      </w:r>
    </w:p>
    <w:p w14:paraId="501B69FC" w14:textId="77777777" w:rsidR="00000164" w:rsidRPr="00B06AA2" w:rsidRDefault="0000016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34348DF" w14:textId="1DE96418" w:rsidR="00000164" w:rsidRDefault="007421E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O</w:t>
      </w:r>
      <w:r w:rsidR="00000164" w:rsidRPr="00B06AA2">
        <w:rPr>
          <w:rFonts w:eastAsia="Times New Roman" w:cstheme="minorHAnsi"/>
          <w:sz w:val="24"/>
          <w:szCs w:val="24"/>
          <w:lang w:eastAsia="pt-BR"/>
        </w:rPr>
        <w:t xml:space="preserve"> ativo negociado no SELIC ou na B3 deve ser apreçado de acordo com o preço de fechamento divulgado pelo respectivo mercado de negociação, pela Secretaria do Tesouro Nacional ou pela ANBIMA, conforme aplicável.</w:t>
      </w:r>
      <w:bookmarkStart w:id="6" w:name="_Hlk209532056"/>
      <w:bookmarkEnd w:id="5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D7EC5">
        <w:rPr>
          <w:rFonts w:eastAsia="Times New Roman" w:cstheme="minorHAnsi"/>
          <w:sz w:val="24"/>
          <w:szCs w:val="24"/>
          <w:lang w:eastAsia="pt-BR"/>
        </w:rPr>
        <w:t xml:space="preserve">Caso seja verificada variabilidade excessiva no preço de fechamento, em especial em ativos como CRA e CRI, será utilizado o preço médio. </w:t>
      </w:r>
      <w:r>
        <w:rPr>
          <w:rFonts w:eastAsia="Times New Roman" w:cstheme="minorHAnsi"/>
          <w:sz w:val="24"/>
          <w:szCs w:val="24"/>
          <w:lang w:eastAsia="pt-BR"/>
        </w:rPr>
        <w:t xml:space="preserve">Já </w:t>
      </w:r>
      <w:r w:rsidR="00000164" w:rsidRPr="00B06AA2">
        <w:rPr>
          <w:rFonts w:eastAsia="Times New Roman" w:cstheme="minorHAnsi"/>
          <w:sz w:val="24"/>
          <w:szCs w:val="24"/>
          <w:lang w:eastAsia="pt-BR"/>
        </w:rPr>
        <w:t xml:space="preserve">o ativo comprado diretamente de uma </w:t>
      </w:r>
      <w:r w:rsidR="00461572">
        <w:rPr>
          <w:rFonts w:eastAsia="Times New Roman" w:cstheme="minorHAnsi"/>
          <w:sz w:val="24"/>
          <w:szCs w:val="24"/>
          <w:lang w:eastAsia="pt-BR"/>
        </w:rPr>
        <w:t>i</w:t>
      </w:r>
      <w:r w:rsidR="00000164" w:rsidRPr="00B06AA2">
        <w:rPr>
          <w:rFonts w:eastAsia="Times New Roman" w:cstheme="minorHAnsi"/>
          <w:sz w:val="24"/>
          <w:szCs w:val="24"/>
          <w:lang w:eastAsia="pt-BR"/>
        </w:rPr>
        <w:t xml:space="preserve">nstituição </w:t>
      </w:r>
      <w:r w:rsidR="00461572">
        <w:rPr>
          <w:rFonts w:eastAsia="Times New Roman" w:cstheme="minorHAnsi"/>
          <w:sz w:val="24"/>
          <w:szCs w:val="24"/>
          <w:lang w:eastAsia="pt-BR"/>
        </w:rPr>
        <w:t>f</w:t>
      </w:r>
      <w:r w:rsidR="00000164" w:rsidRPr="00B06AA2">
        <w:rPr>
          <w:rFonts w:eastAsia="Times New Roman" w:cstheme="minorHAnsi"/>
          <w:sz w:val="24"/>
          <w:szCs w:val="24"/>
          <w:lang w:eastAsia="pt-BR"/>
        </w:rPr>
        <w:t xml:space="preserve">inanceira, deve ser apreçado de acordo </w:t>
      </w:r>
      <w:r w:rsidR="003A7300" w:rsidRPr="00B06AA2">
        <w:rPr>
          <w:rFonts w:eastAsia="Times New Roman" w:cstheme="minorHAnsi"/>
          <w:sz w:val="24"/>
          <w:szCs w:val="24"/>
          <w:lang w:eastAsia="pt-BR"/>
        </w:rPr>
        <w:t xml:space="preserve">com </w:t>
      </w:r>
      <w:r w:rsidR="00000164" w:rsidRPr="00B06AA2">
        <w:rPr>
          <w:rFonts w:eastAsia="Times New Roman" w:cstheme="minorHAnsi"/>
          <w:sz w:val="24"/>
          <w:szCs w:val="24"/>
          <w:lang w:eastAsia="pt-BR"/>
        </w:rPr>
        <w:t>a informação passada no extrato do banco.</w:t>
      </w:r>
    </w:p>
    <w:p w14:paraId="4DFF78EA" w14:textId="77777777" w:rsidR="007421E4" w:rsidRDefault="007421E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CBA6B41" w14:textId="05377874" w:rsidR="007421E4" w:rsidRDefault="007421E4" w:rsidP="00461572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  <w:r w:rsidRPr="005E2A82">
        <w:rPr>
          <w:rFonts w:ascii="Calibri" w:hAnsi="Calibri" w:cs="Calibri"/>
          <w:sz w:val="24"/>
          <w:szCs w:val="24"/>
        </w:rPr>
        <w:t xml:space="preserve">Caso seja identificada diferença entre o apreçamento realizado pela Sociedade e o valor divulgado pela instituição financeira na qual se encontra a Conta Investimento do cliente, a equipe de </w:t>
      </w:r>
      <w:r w:rsidR="00461572">
        <w:rPr>
          <w:rFonts w:ascii="Calibri" w:hAnsi="Calibri" w:cs="Calibri"/>
          <w:sz w:val="24"/>
          <w:szCs w:val="24"/>
        </w:rPr>
        <w:t>Compliance</w:t>
      </w:r>
      <w:r w:rsidRPr="005E2A82">
        <w:rPr>
          <w:rFonts w:ascii="Calibri" w:hAnsi="Calibri" w:cs="Calibri"/>
          <w:sz w:val="24"/>
          <w:szCs w:val="24"/>
        </w:rPr>
        <w:t xml:space="preserve"> alertará a Área de Gestão, sendo que para a aferição correta do apreçamento será utilizada a calculadora de títulos da B3. No caso em que for identificado que a discrepância está no valor da instituição financeira esta será comunicada para que faça os ajustes necessários ou, caso a discrepância seja no sistema, a Sociedade deverá corrigi-la.</w:t>
      </w:r>
    </w:p>
    <w:p w14:paraId="241C4F8E" w14:textId="77777777" w:rsidR="00F02D1F" w:rsidRDefault="00F02D1F" w:rsidP="00461572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</w:p>
    <w:p w14:paraId="631A6A4A" w14:textId="2E8DCA35" w:rsidR="00F02D1F" w:rsidRDefault="00F02D1F" w:rsidP="00F02D1F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Ainda, sempre que </w:t>
      </w:r>
      <w:r w:rsidRPr="00F02D1F">
        <w:rPr>
          <w:rFonts w:ascii="Calibri" w:hAnsi="Calibri" w:cs="Calibri"/>
          <w:sz w:val="24"/>
          <w:szCs w:val="24"/>
        </w:rPr>
        <w:t>observadas evidências que indiquem o aumento</w:t>
      </w:r>
      <w:r>
        <w:rPr>
          <w:rFonts w:ascii="Calibri" w:hAnsi="Calibri" w:cs="Calibri"/>
          <w:sz w:val="24"/>
          <w:szCs w:val="24"/>
        </w:rPr>
        <w:t xml:space="preserve"> </w:t>
      </w:r>
      <w:r w:rsidRPr="00F02D1F">
        <w:rPr>
          <w:rFonts w:ascii="Calibri" w:hAnsi="Calibri" w:cs="Calibri"/>
          <w:sz w:val="24"/>
          <w:szCs w:val="24"/>
        </w:rPr>
        <w:t xml:space="preserve">relevante do risco de default de um ativo, a equipe responsável deve </w:t>
      </w:r>
      <w:r>
        <w:rPr>
          <w:rFonts w:ascii="Calibri" w:hAnsi="Calibri" w:cs="Calibri"/>
          <w:sz w:val="24"/>
          <w:szCs w:val="24"/>
        </w:rPr>
        <w:t>a</w:t>
      </w:r>
      <w:r w:rsidRPr="00F02D1F">
        <w:rPr>
          <w:rFonts w:ascii="Calibri" w:hAnsi="Calibri" w:cs="Calibri"/>
          <w:sz w:val="24"/>
          <w:szCs w:val="24"/>
        </w:rPr>
        <w:t xml:space="preserve">valiar se </w:t>
      </w:r>
      <w:r>
        <w:rPr>
          <w:rFonts w:ascii="Calibri" w:hAnsi="Calibri" w:cs="Calibri"/>
          <w:sz w:val="24"/>
          <w:szCs w:val="24"/>
        </w:rPr>
        <w:t xml:space="preserve">o apreçamento </w:t>
      </w:r>
      <w:r w:rsidRPr="00F02D1F">
        <w:rPr>
          <w:rFonts w:ascii="Calibri" w:hAnsi="Calibri" w:cs="Calibri"/>
          <w:sz w:val="24"/>
          <w:szCs w:val="24"/>
        </w:rPr>
        <w:t xml:space="preserve">do ativo efetivamente reflete esse </w:t>
      </w:r>
      <w:r w:rsidRPr="00F02D1F">
        <w:rPr>
          <w:rFonts w:ascii="Calibri" w:hAnsi="Calibri" w:cs="Calibri"/>
          <w:sz w:val="24"/>
          <w:szCs w:val="24"/>
        </w:rPr>
        <w:lastRenderedPageBreak/>
        <w:t>aumento no risco de crédito do ativo</w:t>
      </w:r>
      <w:r>
        <w:rPr>
          <w:rFonts w:ascii="Calibri" w:hAnsi="Calibri" w:cs="Calibri"/>
          <w:sz w:val="24"/>
          <w:szCs w:val="24"/>
        </w:rPr>
        <w:t xml:space="preserve"> </w:t>
      </w:r>
      <w:r w:rsidRPr="00F02D1F">
        <w:rPr>
          <w:rFonts w:ascii="Calibri" w:hAnsi="Calibri" w:cs="Calibri"/>
          <w:sz w:val="24"/>
          <w:szCs w:val="24"/>
        </w:rPr>
        <w:t>e, em caso negativo, estabelecer o spread mais adequado ao risco da operação</w:t>
      </w:r>
      <w:r>
        <w:rPr>
          <w:rFonts w:ascii="Calibri" w:hAnsi="Calibri" w:cs="Calibri"/>
          <w:sz w:val="24"/>
          <w:szCs w:val="24"/>
        </w:rPr>
        <w:t>, considerando:</w:t>
      </w:r>
    </w:p>
    <w:p w14:paraId="4202E6DC" w14:textId="77777777" w:rsidR="00F02D1F" w:rsidRDefault="00F02D1F" w:rsidP="00F02D1F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</w:p>
    <w:p w14:paraId="1ED6720F" w14:textId="338ECCF4" w:rsidR="00F02D1F" w:rsidRPr="00F02D1F" w:rsidRDefault="00F02D1F" w:rsidP="00F02D1F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  <w:r w:rsidRPr="00F02D1F">
        <w:rPr>
          <w:rFonts w:ascii="Calibri" w:hAnsi="Calibri" w:cs="Calibri"/>
          <w:sz w:val="24"/>
          <w:szCs w:val="24"/>
        </w:rPr>
        <w:t xml:space="preserve">a) as circunstâncias em que se deu o inadimplemento e </w:t>
      </w:r>
      <w:r>
        <w:rPr>
          <w:rFonts w:ascii="Calibri" w:hAnsi="Calibri" w:cs="Calibri"/>
          <w:sz w:val="24"/>
          <w:szCs w:val="24"/>
        </w:rPr>
        <w:t xml:space="preserve">eventual </w:t>
      </w:r>
      <w:r w:rsidRPr="00F02D1F">
        <w:rPr>
          <w:rFonts w:ascii="Calibri" w:hAnsi="Calibri" w:cs="Calibri"/>
          <w:sz w:val="24"/>
          <w:szCs w:val="24"/>
        </w:rPr>
        <w:t>posicionamento do</w:t>
      </w:r>
      <w:r>
        <w:rPr>
          <w:rFonts w:ascii="Calibri" w:hAnsi="Calibri" w:cs="Calibri"/>
          <w:sz w:val="24"/>
          <w:szCs w:val="24"/>
        </w:rPr>
        <w:t xml:space="preserve"> </w:t>
      </w:r>
      <w:r w:rsidRPr="00F02D1F">
        <w:rPr>
          <w:rFonts w:ascii="Calibri" w:hAnsi="Calibri" w:cs="Calibri"/>
          <w:sz w:val="24"/>
          <w:szCs w:val="24"/>
        </w:rPr>
        <w:t>emissor;</w:t>
      </w:r>
    </w:p>
    <w:p w14:paraId="0614CB71" w14:textId="34C7B86F" w:rsidR="00F02D1F" w:rsidRPr="00F02D1F" w:rsidRDefault="00F02D1F" w:rsidP="00F02D1F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  <w:r w:rsidRPr="00F02D1F">
        <w:rPr>
          <w:rFonts w:ascii="Calibri" w:hAnsi="Calibri" w:cs="Calibri"/>
          <w:sz w:val="24"/>
          <w:szCs w:val="24"/>
        </w:rPr>
        <w:t xml:space="preserve">b) se </w:t>
      </w:r>
      <w:r>
        <w:rPr>
          <w:rFonts w:ascii="Calibri" w:hAnsi="Calibri" w:cs="Calibri"/>
          <w:sz w:val="24"/>
          <w:szCs w:val="24"/>
        </w:rPr>
        <w:t>há</w:t>
      </w:r>
      <w:r w:rsidRPr="00F02D1F">
        <w:rPr>
          <w:rFonts w:ascii="Calibri" w:hAnsi="Calibri" w:cs="Calibri"/>
          <w:sz w:val="24"/>
          <w:szCs w:val="24"/>
        </w:rPr>
        <w:t xml:space="preserve"> provisionamento </w:t>
      </w:r>
      <w:r>
        <w:rPr>
          <w:rFonts w:ascii="Calibri" w:hAnsi="Calibri" w:cs="Calibri"/>
          <w:sz w:val="24"/>
          <w:szCs w:val="24"/>
        </w:rPr>
        <w:t xml:space="preserve">e se este </w:t>
      </w:r>
      <w:r w:rsidRPr="00F02D1F">
        <w:rPr>
          <w:rFonts w:ascii="Calibri" w:hAnsi="Calibri" w:cs="Calibri"/>
          <w:sz w:val="24"/>
          <w:szCs w:val="24"/>
        </w:rPr>
        <w:t>reflete de forma adequada a real situação de default;</w:t>
      </w:r>
    </w:p>
    <w:p w14:paraId="411F2901" w14:textId="6519FC34" w:rsidR="00F02D1F" w:rsidRPr="007421E4" w:rsidRDefault="00F02D1F" w:rsidP="00F02D1F">
      <w:pPr>
        <w:spacing w:after="0" w:line="30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Pr="00F02D1F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o m</w:t>
      </w:r>
      <w:r w:rsidRPr="00F02D1F">
        <w:rPr>
          <w:rFonts w:ascii="Calibri" w:hAnsi="Calibri" w:cs="Calibri"/>
          <w:sz w:val="24"/>
          <w:szCs w:val="24"/>
        </w:rPr>
        <w:t>onitora</w:t>
      </w:r>
      <w:r>
        <w:rPr>
          <w:rFonts w:ascii="Calibri" w:hAnsi="Calibri" w:cs="Calibri"/>
          <w:sz w:val="24"/>
          <w:szCs w:val="24"/>
        </w:rPr>
        <w:t>mento</w:t>
      </w:r>
      <w:r w:rsidRPr="00F02D1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</w:t>
      </w:r>
      <w:r w:rsidRPr="00F02D1F">
        <w:rPr>
          <w:rFonts w:ascii="Calibri" w:hAnsi="Calibri" w:cs="Calibri"/>
          <w:sz w:val="24"/>
          <w:szCs w:val="24"/>
        </w:rPr>
        <w:t>o processo de recuperação e/ou renegociação da dívida, checando se eventuais perdas</w:t>
      </w:r>
      <w:r>
        <w:rPr>
          <w:rFonts w:ascii="Calibri" w:hAnsi="Calibri" w:cs="Calibri"/>
          <w:sz w:val="24"/>
          <w:szCs w:val="24"/>
        </w:rPr>
        <w:t xml:space="preserve"> </w:t>
      </w:r>
      <w:r w:rsidRPr="00F02D1F">
        <w:rPr>
          <w:rFonts w:ascii="Calibri" w:hAnsi="Calibri" w:cs="Calibri"/>
          <w:sz w:val="24"/>
          <w:szCs w:val="24"/>
        </w:rPr>
        <w:t>revertidas foram reconhecidas na marcação do título.</w:t>
      </w:r>
    </w:p>
    <w:p w14:paraId="65123AEE" w14:textId="77777777" w:rsidR="00B06AA2" w:rsidRPr="00B06AA2" w:rsidRDefault="00B06AA2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7CD7E7C" w14:textId="21CCF4D2" w:rsidR="00B06AA2" w:rsidRPr="00B06AA2" w:rsidRDefault="007421E4" w:rsidP="00461572">
      <w:pPr>
        <w:spacing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B06AA2" w:rsidRPr="00B06AA2">
        <w:rPr>
          <w:rFonts w:cstheme="minorHAnsi"/>
          <w:sz w:val="24"/>
          <w:szCs w:val="24"/>
        </w:rPr>
        <w:t xml:space="preserve"> processo de apreçamento é feito </w:t>
      </w:r>
      <w:r w:rsidR="00461572">
        <w:rPr>
          <w:rFonts w:cstheme="minorHAnsi"/>
          <w:sz w:val="24"/>
          <w:szCs w:val="24"/>
        </w:rPr>
        <w:t xml:space="preserve">nos dias úteis </w:t>
      </w:r>
      <w:r w:rsidR="00B06AA2" w:rsidRPr="00B06AA2">
        <w:rPr>
          <w:rFonts w:cstheme="minorHAnsi"/>
          <w:sz w:val="24"/>
          <w:szCs w:val="24"/>
        </w:rPr>
        <w:t>no Brasil</w:t>
      </w:r>
      <w:r w:rsidR="00461572">
        <w:rPr>
          <w:rFonts w:cstheme="minorHAnsi"/>
          <w:sz w:val="24"/>
          <w:szCs w:val="24"/>
        </w:rPr>
        <w:t>, desde que não seja</w:t>
      </w:r>
      <w:r w:rsidR="00B06AA2" w:rsidRPr="00B06AA2">
        <w:rPr>
          <w:rFonts w:cstheme="minorHAnsi"/>
          <w:sz w:val="24"/>
          <w:szCs w:val="24"/>
        </w:rPr>
        <w:t xml:space="preserve"> feriado bancário. Para os ativos negociados no exterior do Brasil será utilizada a última cotação disponível para a data de referência das informações da carteira.</w:t>
      </w:r>
    </w:p>
    <w:bookmarkEnd w:id="6"/>
    <w:p w14:paraId="40037D90" w14:textId="77777777" w:rsidR="00000164" w:rsidRPr="00B06AA2" w:rsidRDefault="0000016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1A60EAB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06AA2">
        <w:rPr>
          <w:rFonts w:eastAsia="Times New Roman" w:cstheme="minorHAnsi"/>
          <w:b/>
          <w:bCs/>
          <w:sz w:val="24"/>
          <w:szCs w:val="24"/>
          <w:lang w:eastAsia="pt-BR"/>
        </w:rPr>
        <w:t>2.1. Renda Fixa</w:t>
      </w:r>
    </w:p>
    <w:p w14:paraId="7A8D84F1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76FB033" w14:textId="3F4B436D" w:rsidR="00000164" w:rsidRPr="00B06AA2" w:rsidRDefault="00B06AA2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eastAsia="Times New Roman" w:cstheme="minorHAnsi"/>
          <w:sz w:val="24"/>
          <w:szCs w:val="24"/>
          <w:lang w:eastAsia="pt-BR"/>
        </w:rPr>
        <w:t>P</w:t>
      </w:r>
      <w:r w:rsidR="00000164" w:rsidRPr="00B06AA2">
        <w:rPr>
          <w:rFonts w:eastAsia="Times New Roman" w:cstheme="minorHAnsi"/>
          <w:sz w:val="24"/>
          <w:szCs w:val="24"/>
          <w:lang w:eastAsia="pt-BR"/>
        </w:rPr>
        <w:t>ara os títulos públicos e os títulos privados será observado o procedimento de marcação à mercado, tendo como fonte primária a taxa indicativa da ANBIMA e projeções de preços também divulgados pela Associação. Caso não seja divulgado pela ANBIMA, serão observados os preços em mercado ativo ou cotados junto ao mercado.</w:t>
      </w:r>
    </w:p>
    <w:p w14:paraId="147720A0" w14:textId="77777777" w:rsidR="00000164" w:rsidRPr="00B06AA2" w:rsidRDefault="0000016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92B4FB3" w14:textId="6D26FA0A" w:rsidR="00000164" w:rsidRPr="00B06AA2" w:rsidRDefault="0000016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cstheme="minorHAnsi"/>
          <w:sz w:val="24"/>
          <w:szCs w:val="24"/>
        </w:rPr>
        <w:t xml:space="preserve">A fonte primária de preços para os </w:t>
      </w:r>
      <w:r w:rsidR="00461572">
        <w:rPr>
          <w:rFonts w:cstheme="minorHAnsi"/>
          <w:sz w:val="24"/>
          <w:szCs w:val="24"/>
        </w:rPr>
        <w:t>t</w:t>
      </w:r>
      <w:r w:rsidRPr="00B06AA2">
        <w:rPr>
          <w:rFonts w:cstheme="minorHAnsi"/>
          <w:sz w:val="24"/>
          <w:szCs w:val="24"/>
        </w:rPr>
        <w:t xml:space="preserve">ítulos </w:t>
      </w:r>
      <w:r w:rsidR="00461572">
        <w:rPr>
          <w:rFonts w:cstheme="minorHAnsi"/>
          <w:sz w:val="24"/>
          <w:szCs w:val="24"/>
        </w:rPr>
        <w:t>p</w:t>
      </w:r>
      <w:r w:rsidRPr="00B06AA2">
        <w:rPr>
          <w:rFonts w:cstheme="minorHAnsi"/>
          <w:sz w:val="24"/>
          <w:szCs w:val="24"/>
        </w:rPr>
        <w:t xml:space="preserve">úblicos </w:t>
      </w:r>
      <w:r w:rsidR="00461572">
        <w:rPr>
          <w:rFonts w:cstheme="minorHAnsi"/>
          <w:sz w:val="24"/>
          <w:szCs w:val="24"/>
        </w:rPr>
        <w:t>f</w:t>
      </w:r>
      <w:r w:rsidRPr="00B06AA2">
        <w:rPr>
          <w:rFonts w:cstheme="minorHAnsi"/>
          <w:sz w:val="24"/>
          <w:szCs w:val="24"/>
        </w:rPr>
        <w:t xml:space="preserve">ederais e </w:t>
      </w:r>
      <w:r w:rsidR="00461572">
        <w:rPr>
          <w:rFonts w:cstheme="minorHAnsi"/>
          <w:sz w:val="24"/>
          <w:szCs w:val="24"/>
        </w:rPr>
        <w:t>a</w:t>
      </w:r>
      <w:r w:rsidRPr="00B06AA2">
        <w:rPr>
          <w:rFonts w:cstheme="minorHAnsi"/>
          <w:sz w:val="24"/>
          <w:szCs w:val="24"/>
        </w:rPr>
        <w:t xml:space="preserve">tivos de </w:t>
      </w:r>
      <w:r w:rsidR="00461572">
        <w:rPr>
          <w:rFonts w:cstheme="minorHAnsi"/>
          <w:sz w:val="24"/>
          <w:szCs w:val="24"/>
        </w:rPr>
        <w:t>r</w:t>
      </w:r>
      <w:r w:rsidRPr="00B06AA2">
        <w:rPr>
          <w:rFonts w:cstheme="minorHAnsi"/>
          <w:sz w:val="24"/>
          <w:szCs w:val="24"/>
        </w:rPr>
        <w:t xml:space="preserve">enda </w:t>
      </w:r>
      <w:r w:rsidR="00461572">
        <w:rPr>
          <w:rFonts w:cstheme="minorHAnsi"/>
          <w:sz w:val="24"/>
          <w:szCs w:val="24"/>
        </w:rPr>
        <w:t>f</w:t>
      </w:r>
      <w:r w:rsidRPr="00B06AA2">
        <w:rPr>
          <w:rFonts w:cstheme="minorHAnsi"/>
          <w:sz w:val="24"/>
          <w:szCs w:val="24"/>
        </w:rPr>
        <w:t xml:space="preserve">ixa de </w:t>
      </w:r>
      <w:r w:rsidR="00461572">
        <w:rPr>
          <w:rFonts w:cstheme="minorHAnsi"/>
          <w:sz w:val="24"/>
          <w:szCs w:val="24"/>
        </w:rPr>
        <w:t>e</w:t>
      </w:r>
      <w:r w:rsidRPr="00B06AA2">
        <w:rPr>
          <w:rFonts w:cstheme="minorHAnsi"/>
          <w:sz w:val="24"/>
          <w:szCs w:val="24"/>
        </w:rPr>
        <w:t xml:space="preserve">missor privado é o PU (Preço Único) do Ativo divulgado pela ANBIMA. Para os títulos emitidos por </w:t>
      </w:r>
      <w:r w:rsidR="00461572">
        <w:rPr>
          <w:rFonts w:cstheme="minorHAnsi"/>
          <w:sz w:val="24"/>
          <w:szCs w:val="24"/>
        </w:rPr>
        <w:t>i</w:t>
      </w:r>
      <w:r w:rsidRPr="00B06AA2">
        <w:rPr>
          <w:rFonts w:cstheme="minorHAnsi"/>
          <w:sz w:val="24"/>
          <w:szCs w:val="24"/>
        </w:rPr>
        <w:t xml:space="preserve">nstituições </w:t>
      </w:r>
      <w:r w:rsidR="00461572">
        <w:rPr>
          <w:rFonts w:cstheme="minorHAnsi"/>
          <w:sz w:val="24"/>
          <w:szCs w:val="24"/>
        </w:rPr>
        <w:t>f</w:t>
      </w:r>
      <w:r w:rsidRPr="00B06AA2">
        <w:rPr>
          <w:rFonts w:cstheme="minorHAnsi"/>
          <w:sz w:val="24"/>
          <w:szCs w:val="24"/>
        </w:rPr>
        <w:t xml:space="preserve">inanceiras </w:t>
      </w:r>
      <w:r w:rsidR="00472E10" w:rsidRPr="00B06AA2">
        <w:rPr>
          <w:rFonts w:cstheme="minorHAnsi"/>
          <w:sz w:val="24"/>
          <w:szCs w:val="24"/>
        </w:rPr>
        <w:t>são utilizados</w:t>
      </w:r>
      <w:r w:rsidRPr="00B06AA2">
        <w:rPr>
          <w:rFonts w:cstheme="minorHAnsi"/>
          <w:sz w:val="24"/>
          <w:szCs w:val="24"/>
        </w:rPr>
        <w:t xml:space="preserve"> os preços por ela divulgados no extrato do </w:t>
      </w:r>
      <w:r w:rsidR="003A7300" w:rsidRPr="00B06AA2">
        <w:rPr>
          <w:rFonts w:cstheme="minorHAnsi"/>
          <w:sz w:val="24"/>
          <w:szCs w:val="24"/>
        </w:rPr>
        <w:t>c</w:t>
      </w:r>
      <w:r w:rsidRPr="00B06AA2">
        <w:rPr>
          <w:rFonts w:cstheme="minorHAnsi"/>
          <w:sz w:val="24"/>
          <w:szCs w:val="24"/>
        </w:rPr>
        <w:t xml:space="preserve">liente. Para os demais </w:t>
      </w:r>
      <w:r w:rsidR="00461572">
        <w:rPr>
          <w:rFonts w:cstheme="minorHAnsi"/>
          <w:sz w:val="24"/>
          <w:szCs w:val="24"/>
        </w:rPr>
        <w:t>a</w:t>
      </w:r>
      <w:r w:rsidRPr="00B06AA2">
        <w:rPr>
          <w:rFonts w:cstheme="minorHAnsi"/>
          <w:sz w:val="24"/>
          <w:szCs w:val="24"/>
        </w:rPr>
        <w:t xml:space="preserve">tivos de </w:t>
      </w:r>
      <w:r w:rsidR="00461572">
        <w:rPr>
          <w:rFonts w:cstheme="minorHAnsi"/>
          <w:sz w:val="24"/>
          <w:szCs w:val="24"/>
        </w:rPr>
        <w:t>r</w:t>
      </w:r>
      <w:r w:rsidRPr="00B06AA2">
        <w:rPr>
          <w:rFonts w:cstheme="minorHAnsi"/>
          <w:sz w:val="24"/>
          <w:szCs w:val="24"/>
        </w:rPr>
        <w:t xml:space="preserve">enda </w:t>
      </w:r>
      <w:r w:rsidR="00461572">
        <w:rPr>
          <w:rFonts w:cstheme="minorHAnsi"/>
          <w:sz w:val="24"/>
          <w:szCs w:val="24"/>
        </w:rPr>
        <w:t>f</w:t>
      </w:r>
      <w:r w:rsidRPr="00B06AA2">
        <w:rPr>
          <w:rFonts w:cstheme="minorHAnsi"/>
          <w:sz w:val="24"/>
          <w:szCs w:val="24"/>
        </w:rPr>
        <w:t xml:space="preserve">ixa </w:t>
      </w:r>
      <w:r w:rsidR="00472E10" w:rsidRPr="00B06AA2">
        <w:rPr>
          <w:rFonts w:cstheme="minorHAnsi"/>
          <w:sz w:val="24"/>
          <w:szCs w:val="24"/>
        </w:rPr>
        <w:t>se procederá</w:t>
      </w:r>
      <w:r w:rsidRPr="00B06AA2">
        <w:rPr>
          <w:rFonts w:cstheme="minorHAnsi"/>
          <w:sz w:val="24"/>
          <w:szCs w:val="24"/>
        </w:rPr>
        <w:t xml:space="preserve"> com a marcação na curva, nos termos desta Política.</w:t>
      </w:r>
    </w:p>
    <w:bookmarkEnd w:id="4"/>
    <w:p w14:paraId="5568AB2F" w14:textId="77777777" w:rsidR="00014682" w:rsidRPr="00B06AA2" w:rsidRDefault="00014682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7F08873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06AA2">
        <w:rPr>
          <w:rFonts w:eastAsia="Times New Roman" w:cstheme="minorHAnsi"/>
          <w:b/>
          <w:bCs/>
          <w:sz w:val="24"/>
          <w:szCs w:val="24"/>
          <w:lang w:eastAsia="pt-BR"/>
        </w:rPr>
        <w:t>2.2. Renda Variável</w:t>
      </w:r>
    </w:p>
    <w:p w14:paraId="31AF4BB7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56F78A5" w14:textId="14E8D400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eastAsia="Times New Roman" w:cstheme="minorHAnsi"/>
          <w:sz w:val="24"/>
          <w:szCs w:val="24"/>
          <w:lang w:eastAsia="pt-BR"/>
        </w:rPr>
        <w:t>É utilizada a cotação referente ao preço de fechamento divulgado pela B3. Em não havendo negociação no dia, será mantido o preço da última negociação, desde que tenha sido negociado pelo menos uma vez nos últimos 90 (noventa) dias.</w:t>
      </w:r>
    </w:p>
    <w:p w14:paraId="0503BB42" w14:textId="77777777" w:rsidR="00000164" w:rsidRPr="00B06AA2" w:rsidRDefault="0000016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B338CAB" w14:textId="3C610C8D" w:rsidR="00000164" w:rsidRPr="00B06AA2" w:rsidRDefault="00000164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7" w:name="_Hlk209532334"/>
      <w:r w:rsidRPr="00B06AA2">
        <w:rPr>
          <w:rFonts w:eastAsia="Times New Roman" w:cstheme="minorHAnsi"/>
          <w:sz w:val="24"/>
          <w:szCs w:val="24"/>
          <w:lang w:eastAsia="pt-BR"/>
        </w:rPr>
        <w:t>Caso o ativo de renda variável não tenha cotação nos últimos 90 (noventa) dias será considerado um dos seguintes valores: (i) custo de aquisição; (</w:t>
      </w:r>
      <w:proofErr w:type="spellStart"/>
      <w:r w:rsidRPr="00B06AA2">
        <w:rPr>
          <w:rFonts w:eastAsia="Times New Roman" w:cstheme="minorHAnsi"/>
          <w:sz w:val="24"/>
          <w:szCs w:val="24"/>
          <w:lang w:eastAsia="pt-BR"/>
        </w:rPr>
        <w:t>ii</w:t>
      </w:r>
      <w:proofErr w:type="spellEnd"/>
      <w:r w:rsidRPr="00B06AA2">
        <w:rPr>
          <w:rFonts w:eastAsia="Times New Roman" w:cstheme="minorHAnsi"/>
          <w:sz w:val="24"/>
          <w:szCs w:val="24"/>
          <w:lang w:eastAsia="pt-BR"/>
        </w:rPr>
        <w:t>) última cotação disponível; (</w:t>
      </w:r>
      <w:proofErr w:type="spellStart"/>
      <w:r w:rsidRPr="00B06AA2">
        <w:rPr>
          <w:rFonts w:eastAsia="Times New Roman" w:cstheme="minorHAnsi"/>
          <w:sz w:val="24"/>
          <w:szCs w:val="24"/>
          <w:lang w:eastAsia="pt-BR"/>
        </w:rPr>
        <w:t>iii</w:t>
      </w:r>
      <w:proofErr w:type="spellEnd"/>
      <w:r w:rsidRPr="00B06AA2">
        <w:rPr>
          <w:rFonts w:eastAsia="Times New Roman" w:cstheme="minorHAnsi"/>
          <w:sz w:val="24"/>
          <w:szCs w:val="24"/>
          <w:lang w:eastAsia="pt-BR"/>
        </w:rPr>
        <w:t>) último valor patrimonial do título divulgado pela CVM; ou (</w:t>
      </w:r>
      <w:proofErr w:type="spellStart"/>
      <w:r w:rsidRPr="00B06AA2">
        <w:rPr>
          <w:rFonts w:eastAsia="Times New Roman" w:cstheme="minorHAnsi"/>
          <w:sz w:val="24"/>
          <w:szCs w:val="24"/>
          <w:lang w:eastAsia="pt-BR"/>
        </w:rPr>
        <w:t>iv</w:t>
      </w:r>
      <w:proofErr w:type="spellEnd"/>
      <w:r w:rsidRPr="00B06AA2">
        <w:rPr>
          <w:rFonts w:eastAsia="Times New Roman" w:cstheme="minorHAnsi"/>
          <w:sz w:val="24"/>
          <w:szCs w:val="24"/>
          <w:lang w:eastAsia="pt-BR"/>
        </w:rPr>
        <w:t>) valor líquido provável de realização obtido mediante adoção de técnica ou modelo de precificação.</w:t>
      </w:r>
    </w:p>
    <w:bookmarkEnd w:id="7"/>
    <w:p w14:paraId="72D93003" w14:textId="77777777" w:rsidR="00B06AA2" w:rsidRPr="00B06AA2" w:rsidRDefault="00B06AA2" w:rsidP="00461572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626D3896" w14:textId="620B9ED5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06AA2">
        <w:rPr>
          <w:rFonts w:eastAsia="Times New Roman" w:cstheme="minorHAnsi"/>
          <w:b/>
          <w:bCs/>
          <w:sz w:val="24"/>
          <w:szCs w:val="24"/>
          <w:lang w:eastAsia="pt-BR"/>
        </w:rPr>
        <w:t>2.3. Cota de Fundos</w:t>
      </w:r>
    </w:p>
    <w:p w14:paraId="1320C5CF" w14:textId="77777777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B515E94" w14:textId="38631F09" w:rsidR="00486917" w:rsidRPr="00B06AA2" w:rsidRDefault="00486917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="00461572">
        <w:rPr>
          <w:rFonts w:eastAsia="Times New Roman" w:cstheme="minorHAnsi"/>
          <w:sz w:val="24"/>
          <w:szCs w:val="24"/>
          <w:lang w:eastAsia="pt-BR"/>
        </w:rPr>
        <w:t>a</w:t>
      </w:r>
      <w:r w:rsidRPr="00B06AA2">
        <w:rPr>
          <w:rFonts w:eastAsia="Times New Roman" w:cstheme="minorHAnsi"/>
          <w:sz w:val="24"/>
          <w:szCs w:val="24"/>
          <w:lang w:eastAsia="pt-BR"/>
        </w:rPr>
        <w:t xml:space="preserve">preçamento considerará o valor patrimonial da cota divulgado pelo </w:t>
      </w:r>
      <w:r w:rsidR="00461572">
        <w:rPr>
          <w:rFonts w:eastAsia="Times New Roman" w:cstheme="minorHAnsi"/>
          <w:sz w:val="24"/>
          <w:szCs w:val="24"/>
          <w:lang w:eastAsia="pt-BR"/>
        </w:rPr>
        <w:t>a</w:t>
      </w:r>
      <w:r w:rsidRPr="00B06AA2">
        <w:rPr>
          <w:rFonts w:eastAsia="Times New Roman" w:cstheme="minorHAnsi"/>
          <w:sz w:val="24"/>
          <w:szCs w:val="24"/>
          <w:lang w:eastAsia="pt-BR"/>
        </w:rPr>
        <w:t xml:space="preserve">dministrador </w:t>
      </w:r>
      <w:r w:rsidR="00461572">
        <w:rPr>
          <w:rFonts w:eastAsia="Times New Roman" w:cstheme="minorHAnsi"/>
          <w:sz w:val="24"/>
          <w:szCs w:val="24"/>
          <w:lang w:eastAsia="pt-BR"/>
        </w:rPr>
        <w:t>f</w:t>
      </w:r>
      <w:r w:rsidRPr="00B06AA2">
        <w:rPr>
          <w:rFonts w:eastAsia="Times New Roman" w:cstheme="minorHAnsi"/>
          <w:sz w:val="24"/>
          <w:szCs w:val="24"/>
          <w:lang w:eastAsia="pt-BR"/>
        </w:rPr>
        <w:t>iduciário do fundo investido</w:t>
      </w:r>
      <w:r w:rsidR="00F02D1F">
        <w:rPr>
          <w:rFonts w:eastAsia="Times New Roman" w:cstheme="minorHAnsi"/>
          <w:sz w:val="24"/>
          <w:szCs w:val="24"/>
          <w:lang w:eastAsia="pt-BR"/>
        </w:rPr>
        <w:t>, inclusive para fundos de investimento em participação, em linha com os laudos divulgados trimestralmente</w:t>
      </w:r>
      <w:r w:rsidRPr="00B06AA2">
        <w:rPr>
          <w:rFonts w:eastAsia="Times New Roman" w:cstheme="minorHAnsi"/>
          <w:sz w:val="24"/>
          <w:szCs w:val="24"/>
          <w:lang w:eastAsia="pt-BR"/>
        </w:rPr>
        <w:t>.</w:t>
      </w:r>
    </w:p>
    <w:p w14:paraId="054BF09B" w14:textId="77777777" w:rsidR="00472E10" w:rsidRPr="00B06AA2" w:rsidRDefault="00472E10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D5A1E9C" w14:textId="33FD46C8" w:rsidR="00472E10" w:rsidRPr="00B06AA2" w:rsidRDefault="00B06AA2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8" w:name="_Hlk209532351"/>
      <w:r w:rsidRPr="00B06AA2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="00472E10" w:rsidRPr="00B06AA2">
        <w:rPr>
          <w:rFonts w:eastAsia="Times New Roman" w:cstheme="minorHAnsi"/>
          <w:sz w:val="24"/>
          <w:szCs w:val="24"/>
          <w:lang w:eastAsia="pt-BR"/>
        </w:rPr>
        <w:t xml:space="preserve">fonte primária </w:t>
      </w:r>
      <w:r w:rsidRPr="00B06AA2">
        <w:rPr>
          <w:rFonts w:eastAsia="Times New Roman" w:cstheme="minorHAnsi"/>
          <w:sz w:val="24"/>
          <w:szCs w:val="24"/>
          <w:lang w:eastAsia="pt-BR"/>
        </w:rPr>
        <w:t>consiste n</w:t>
      </w:r>
      <w:r w:rsidR="00472E10" w:rsidRPr="00B06AA2">
        <w:rPr>
          <w:rFonts w:eastAsia="Times New Roman" w:cstheme="minorHAnsi"/>
          <w:sz w:val="24"/>
          <w:szCs w:val="24"/>
          <w:lang w:eastAsia="pt-BR"/>
        </w:rPr>
        <w:t>as cotas patrimoniais diárias informadas pela ANBIMA / CVM, sendo inseridas no sistema via CNPJ ou código ANBIMA do fundo.</w:t>
      </w:r>
    </w:p>
    <w:p w14:paraId="3A42DB3B" w14:textId="77777777" w:rsidR="00472E10" w:rsidRPr="00B06AA2" w:rsidRDefault="00472E10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B47A439" w14:textId="65F8DE32" w:rsidR="00472E10" w:rsidRPr="00B06AA2" w:rsidRDefault="00472E10" w:rsidP="00461572">
      <w:pPr>
        <w:spacing w:after="0" w:line="300" w:lineRule="exact"/>
        <w:jc w:val="both"/>
        <w:rPr>
          <w:rFonts w:eastAsia="Times New Roman" w:cstheme="minorHAnsi"/>
          <w:sz w:val="24"/>
          <w:szCs w:val="24"/>
          <w:lang w:eastAsia="pt-BR"/>
        </w:rPr>
      </w:pPr>
      <w:r w:rsidRPr="00B06AA2">
        <w:rPr>
          <w:rFonts w:eastAsia="Times New Roman" w:cstheme="minorHAnsi"/>
          <w:sz w:val="24"/>
          <w:szCs w:val="24"/>
          <w:lang w:eastAsia="pt-BR"/>
        </w:rPr>
        <w:t>Caso a cota possua cotação diária em Bolsa, neste caso, a fonte primária será sua cotaç</w:t>
      </w:r>
      <w:r w:rsidR="00B06AA2" w:rsidRPr="00B06AA2">
        <w:rPr>
          <w:rFonts w:eastAsia="Times New Roman" w:cstheme="minorHAnsi"/>
          <w:sz w:val="24"/>
          <w:szCs w:val="24"/>
          <w:lang w:eastAsia="pt-BR"/>
        </w:rPr>
        <w:t>ão</w:t>
      </w:r>
      <w:r w:rsidRPr="00B06AA2">
        <w:rPr>
          <w:rFonts w:eastAsia="Times New Roman" w:cstheme="minorHAnsi"/>
          <w:sz w:val="24"/>
          <w:szCs w:val="24"/>
          <w:lang w:eastAsia="pt-BR"/>
        </w:rPr>
        <w:t xml:space="preserve"> diárias de fechamento no pregão, inseridas no sistema via </w:t>
      </w:r>
      <w:r w:rsidR="001B2433" w:rsidRPr="00B06AA2">
        <w:rPr>
          <w:rFonts w:eastAsia="Times New Roman" w:cstheme="minorHAnsi"/>
          <w:sz w:val="24"/>
          <w:szCs w:val="24"/>
          <w:lang w:eastAsia="pt-BR"/>
        </w:rPr>
        <w:t>ticket</w:t>
      </w:r>
      <w:r w:rsidRPr="00B06AA2">
        <w:rPr>
          <w:rFonts w:eastAsia="Times New Roman" w:cstheme="minorHAnsi"/>
          <w:sz w:val="24"/>
          <w:szCs w:val="24"/>
          <w:lang w:eastAsia="pt-BR"/>
        </w:rPr>
        <w:t xml:space="preserve"> do fundo, recebidas em arquivo da B3.</w:t>
      </w:r>
    </w:p>
    <w:bookmarkEnd w:id="8"/>
    <w:p w14:paraId="2BA63F70" w14:textId="77777777" w:rsidR="00486917" w:rsidRDefault="00486917" w:rsidP="00461572">
      <w:pPr>
        <w:spacing w:after="0" w:line="300" w:lineRule="exact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14:paraId="2C0E3291" w14:textId="77777777" w:rsidR="00995DC6" w:rsidRDefault="00995DC6" w:rsidP="00995DC6">
      <w:pPr>
        <w:spacing w:after="0" w:line="300" w:lineRule="exact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2.3. Ativos no Exterior</w:t>
      </w:r>
    </w:p>
    <w:p w14:paraId="3CF9FFDE" w14:textId="77777777" w:rsidR="00995DC6" w:rsidRPr="008D75DA" w:rsidRDefault="00995DC6" w:rsidP="00995DC6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14:paraId="0101D759" w14:textId="728E69AF" w:rsidR="00995DC6" w:rsidRPr="008D75DA" w:rsidRDefault="00995DC6" w:rsidP="007067FB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8D75DA">
        <w:rPr>
          <w:rFonts w:eastAsia="Times New Roman" w:cstheme="minorHAnsi"/>
          <w:bCs/>
          <w:sz w:val="24"/>
          <w:szCs w:val="24"/>
          <w:lang w:eastAsia="pt-BR"/>
        </w:rPr>
        <w:t xml:space="preserve">Caso os Ativos no exterior não sejam denominados em dólares americanos, estes devem ser, </w:t>
      </w:r>
      <w:r w:rsidR="007067FB">
        <w:rPr>
          <w:rFonts w:eastAsia="Times New Roman" w:cstheme="minorHAnsi"/>
          <w:bCs/>
          <w:sz w:val="24"/>
          <w:szCs w:val="24"/>
          <w:lang w:eastAsia="pt-BR"/>
        </w:rPr>
        <w:t>preferencialmente</w:t>
      </w:r>
      <w:r w:rsidRPr="008D75DA">
        <w:rPr>
          <w:rFonts w:eastAsia="Times New Roman" w:cstheme="minorHAnsi"/>
          <w:bCs/>
          <w:sz w:val="24"/>
          <w:szCs w:val="24"/>
          <w:lang w:eastAsia="pt-BR"/>
        </w:rPr>
        <w:t>, convertidos para dólar americano</w:t>
      </w:r>
      <w:r w:rsidR="007067FB">
        <w:rPr>
          <w:rFonts w:eastAsia="Times New Roman" w:cstheme="minorHAnsi"/>
          <w:bCs/>
          <w:sz w:val="24"/>
          <w:szCs w:val="24"/>
          <w:lang w:eastAsia="pt-BR"/>
        </w:rPr>
        <w:t>. Caso o cliente solicite, os valores poderão ser convertidos para outras moedas.</w:t>
      </w:r>
    </w:p>
    <w:p w14:paraId="5BC35A2E" w14:textId="77777777" w:rsidR="00995DC6" w:rsidRPr="008D75DA" w:rsidRDefault="00995DC6" w:rsidP="00995DC6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14:paraId="5FF30D12" w14:textId="06B5D069" w:rsidR="00995DC6" w:rsidRPr="008D75DA" w:rsidRDefault="00995DC6" w:rsidP="00995DC6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8D75DA">
        <w:rPr>
          <w:rFonts w:eastAsia="Times New Roman" w:cstheme="minorHAnsi"/>
          <w:bCs/>
          <w:sz w:val="24"/>
          <w:szCs w:val="24"/>
          <w:lang w:eastAsia="pt-BR"/>
        </w:rPr>
        <w:t>O valor a ser utilizado deve ser o preço líquido provável de realização</w:t>
      </w:r>
    </w:p>
    <w:p w14:paraId="746CAF4D" w14:textId="77777777" w:rsidR="00995DC6" w:rsidRPr="008D75DA" w:rsidRDefault="00995DC6" w:rsidP="00995DC6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14:paraId="32D8F2AE" w14:textId="37AF66FE" w:rsidR="00995DC6" w:rsidRDefault="00995DC6" w:rsidP="00995DC6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8D75DA">
        <w:rPr>
          <w:rFonts w:eastAsia="Times New Roman" w:cstheme="minorHAnsi"/>
          <w:bCs/>
          <w:sz w:val="24"/>
          <w:szCs w:val="24"/>
          <w:lang w:eastAsia="pt-BR"/>
        </w:rPr>
        <w:t xml:space="preserve">O uso </w:t>
      </w:r>
      <w:r w:rsidR="007067FB">
        <w:rPr>
          <w:rFonts w:eastAsia="Times New Roman" w:cstheme="minorHAnsi"/>
          <w:bCs/>
          <w:sz w:val="24"/>
          <w:szCs w:val="24"/>
          <w:lang w:eastAsia="pt-BR"/>
        </w:rPr>
        <w:t>das taxas</w:t>
      </w:r>
      <w:r w:rsidRPr="008D75DA">
        <w:rPr>
          <w:rFonts w:eastAsia="Times New Roman" w:cstheme="minorHAnsi"/>
          <w:bCs/>
          <w:sz w:val="24"/>
          <w:szCs w:val="24"/>
          <w:lang w:eastAsia="pt-BR"/>
        </w:rPr>
        <w:t xml:space="preserve"> deve ser efetuado de forma consistente e sua fonte deve ser de acesso público, confiável e deve possuir frequente divulgação, sendo informada essa utilização em nota explicativa incluindo justificativas.</w:t>
      </w:r>
    </w:p>
    <w:p w14:paraId="77D8B13A" w14:textId="77777777" w:rsidR="00D41529" w:rsidRDefault="00D41529" w:rsidP="00995DC6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14:paraId="2B3E294E" w14:textId="247FFE2F" w:rsidR="00D41529" w:rsidRDefault="00D41529" w:rsidP="00D41529">
      <w:pPr>
        <w:spacing w:after="0" w:line="300" w:lineRule="exact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8D75DA">
        <w:rPr>
          <w:rFonts w:eastAsia="Times New Roman" w:cstheme="minorHAnsi"/>
          <w:b/>
          <w:sz w:val="24"/>
          <w:szCs w:val="24"/>
          <w:lang w:eastAsia="pt-BR"/>
        </w:rPr>
        <w:t>2.4.</w:t>
      </w:r>
      <w:r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8D75DA">
        <w:rPr>
          <w:rFonts w:eastAsia="Times New Roman" w:cstheme="minorHAnsi"/>
          <w:b/>
          <w:sz w:val="24"/>
          <w:szCs w:val="24"/>
          <w:lang w:eastAsia="pt-BR"/>
        </w:rPr>
        <w:t xml:space="preserve">Ações de </w:t>
      </w:r>
      <w:r>
        <w:rPr>
          <w:rFonts w:eastAsia="Times New Roman" w:cstheme="minorHAnsi"/>
          <w:b/>
          <w:sz w:val="24"/>
          <w:szCs w:val="24"/>
          <w:lang w:eastAsia="pt-BR"/>
        </w:rPr>
        <w:t>Sociedades de Propósito Específico</w:t>
      </w:r>
    </w:p>
    <w:p w14:paraId="2B410ED6" w14:textId="77777777" w:rsidR="00D41529" w:rsidRPr="00D41529" w:rsidRDefault="00D41529" w:rsidP="00D41529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14:paraId="01B31AE4" w14:textId="3FC0B117" w:rsidR="00D41529" w:rsidRPr="00D41529" w:rsidRDefault="00D41529" w:rsidP="00D41529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D41529">
        <w:rPr>
          <w:rFonts w:eastAsia="Times New Roman" w:cstheme="minorHAnsi"/>
          <w:bCs/>
          <w:sz w:val="24"/>
          <w:szCs w:val="24"/>
          <w:lang w:eastAsia="pt-BR"/>
        </w:rPr>
        <w:t>Na situação de ações de companhias fechadas</w:t>
      </w:r>
      <w:r>
        <w:rPr>
          <w:rFonts w:eastAsia="Times New Roman" w:cstheme="minorHAnsi"/>
          <w:bCs/>
          <w:sz w:val="24"/>
          <w:szCs w:val="24"/>
          <w:lang w:eastAsia="pt-BR"/>
        </w:rPr>
        <w:t xml:space="preserve"> de propósito específico com a finalidade de participação em empreendimento imobiliário serão considerados no apreçamento</w:t>
      </w:r>
      <w:r w:rsidRPr="00D41529">
        <w:rPr>
          <w:rFonts w:eastAsia="Times New Roman" w:cstheme="minorHAnsi"/>
          <w:bCs/>
          <w:sz w:val="24"/>
          <w:szCs w:val="24"/>
          <w:lang w:eastAsia="pt-BR"/>
        </w:rPr>
        <w:t>:</w:t>
      </w:r>
    </w:p>
    <w:p w14:paraId="4F1B5F70" w14:textId="77777777" w:rsidR="00D41529" w:rsidRPr="00D41529" w:rsidRDefault="00D41529" w:rsidP="00D41529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D41529">
        <w:rPr>
          <w:rFonts w:eastAsia="Times New Roman" w:cstheme="minorHAnsi"/>
          <w:bCs/>
          <w:sz w:val="24"/>
          <w:szCs w:val="24"/>
          <w:lang w:eastAsia="pt-BR"/>
        </w:rPr>
        <w:t>a) Custo de aquisição;</w:t>
      </w:r>
    </w:p>
    <w:p w14:paraId="682937E2" w14:textId="77777777" w:rsidR="00D41529" w:rsidRPr="00D41529" w:rsidRDefault="00D41529" w:rsidP="00D41529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D41529">
        <w:rPr>
          <w:rFonts w:eastAsia="Times New Roman" w:cstheme="minorHAnsi"/>
          <w:bCs/>
          <w:sz w:val="24"/>
          <w:szCs w:val="24"/>
          <w:lang w:eastAsia="pt-BR"/>
        </w:rPr>
        <w:t>b) Última cotação disponível;</w:t>
      </w:r>
    </w:p>
    <w:p w14:paraId="1051D509" w14:textId="77777777" w:rsidR="00D41529" w:rsidRPr="00D41529" w:rsidRDefault="00D41529" w:rsidP="00D41529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D41529">
        <w:rPr>
          <w:rFonts w:eastAsia="Times New Roman" w:cstheme="minorHAnsi"/>
          <w:bCs/>
          <w:sz w:val="24"/>
          <w:szCs w:val="24"/>
          <w:lang w:eastAsia="pt-BR"/>
        </w:rPr>
        <w:t>c) Último valor patrimonial do título divulgado pela empresa;</w:t>
      </w:r>
    </w:p>
    <w:p w14:paraId="537DF652" w14:textId="2E667E61" w:rsidR="00D41529" w:rsidRPr="008D75DA" w:rsidRDefault="00D41529" w:rsidP="00D41529">
      <w:pPr>
        <w:spacing w:after="0" w:line="300" w:lineRule="exact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D41529">
        <w:rPr>
          <w:rFonts w:eastAsia="Times New Roman" w:cstheme="minorHAnsi"/>
          <w:bCs/>
          <w:sz w:val="24"/>
          <w:szCs w:val="24"/>
          <w:lang w:eastAsia="pt-BR"/>
        </w:rPr>
        <w:t>d) Valor líquido provável de realização, obtido mediante adoção de técnica ou modelo de precificação.</w:t>
      </w:r>
    </w:p>
    <w:p w14:paraId="3445FF98" w14:textId="77777777" w:rsidR="00995DC6" w:rsidRPr="00B06AA2" w:rsidRDefault="00995DC6" w:rsidP="00995DC6">
      <w:pPr>
        <w:spacing w:after="0" w:line="300" w:lineRule="exact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14:paraId="23DC8647" w14:textId="77777777" w:rsidR="00486917" w:rsidRPr="00B06AA2" w:rsidRDefault="00486917" w:rsidP="00461572">
      <w:pPr>
        <w:pStyle w:val="Ttulo2"/>
        <w:spacing w:before="0" w:line="300" w:lineRule="exact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AA2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t-BR"/>
        </w:rPr>
        <w:t xml:space="preserve">3. </w:t>
      </w:r>
      <w:r w:rsidRPr="00B06AA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Arquivamento e manutenção de documentos: </w:t>
      </w:r>
    </w:p>
    <w:p w14:paraId="5E181C6C" w14:textId="77777777" w:rsidR="00486917" w:rsidRPr="00B06AA2" w:rsidRDefault="00486917" w:rsidP="00461572">
      <w:pPr>
        <w:pStyle w:val="Ttulo2"/>
        <w:spacing w:before="0" w:line="300" w:lineRule="exact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E0731C6" w14:textId="77777777" w:rsidR="00486917" w:rsidRPr="00B06AA2" w:rsidRDefault="00486917" w:rsidP="00461572">
      <w:pPr>
        <w:pStyle w:val="Ttulo2"/>
        <w:spacing w:before="0" w:line="300" w:lineRule="exact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06AA2">
        <w:rPr>
          <w:rFonts w:asciiTheme="minorHAnsi" w:hAnsiTheme="minorHAnsi" w:cstheme="minorHAnsi"/>
          <w:color w:val="auto"/>
          <w:sz w:val="24"/>
          <w:szCs w:val="24"/>
        </w:rPr>
        <w:t>Todos os documentos e informações relevantes para o processo de apreçamento são arquivados em meio físico ou eletrônico, pelo prazo mínimo de 5 (cinco) anos.</w:t>
      </w:r>
    </w:p>
    <w:p w14:paraId="550D7143" w14:textId="77777777" w:rsidR="00486917" w:rsidRPr="00B06AA2" w:rsidRDefault="00486917" w:rsidP="00461572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  <w:sz w:val="24"/>
          <w:szCs w:val="24"/>
        </w:rPr>
      </w:pPr>
    </w:p>
    <w:p w14:paraId="7FBF0C99" w14:textId="77777777" w:rsidR="00486917" w:rsidRPr="00B06AA2" w:rsidRDefault="00486917" w:rsidP="00461572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  <w:sz w:val="24"/>
          <w:szCs w:val="24"/>
        </w:rPr>
      </w:pPr>
      <w:r w:rsidRPr="00B06AA2">
        <w:rPr>
          <w:rFonts w:cstheme="minorHAnsi"/>
          <w:sz w:val="24"/>
          <w:szCs w:val="24"/>
        </w:rPr>
        <w:t>O presente Manual será revisado no caso de mudança na metodologia utilizada ou perfil dos investidores cujas carteiras são administradas pela Sociedade.</w:t>
      </w:r>
      <w:bookmarkEnd w:id="0"/>
      <w:bookmarkEnd w:id="1"/>
    </w:p>
    <w:p w14:paraId="345B2305" w14:textId="77777777" w:rsidR="00B91E81" w:rsidRDefault="00B91E81" w:rsidP="00461572">
      <w:pPr>
        <w:spacing w:after="0" w:line="300" w:lineRule="exact"/>
      </w:pPr>
    </w:p>
    <w:sectPr w:rsidR="00B91E81" w:rsidSect="00461572">
      <w:footerReference w:type="default" r:id="rId6"/>
      <w:pgSz w:w="11906" w:h="16838"/>
      <w:pgMar w:top="1417" w:right="991" w:bottom="1417" w:left="993" w:header="708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63A6F" w14:textId="77777777" w:rsidR="0089162B" w:rsidRDefault="0089162B" w:rsidP="00263E6F">
      <w:pPr>
        <w:spacing w:after="0" w:line="240" w:lineRule="auto"/>
      </w:pPr>
      <w:r>
        <w:separator/>
      </w:r>
    </w:p>
  </w:endnote>
  <w:endnote w:type="continuationSeparator" w:id="0">
    <w:p w14:paraId="2FE65BE9" w14:textId="77777777" w:rsidR="0089162B" w:rsidRDefault="0089162B" w:rsidP="0026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3117" w14:textId="77777777" w:rsidR="00461572" w:rsidRDefault="00461572" w:rsidP="00461572">
    <w:pPr>
      <w:autoSpaceDE w:val="0"/>
      <w:autoSpaceDN w:val="0"/>
      <w:adjustRightInd w:val="0"/>
      <w:spacing w:after="0" w:line="320" w:lineRule="exact"/>
      <w:rPr>
        <w:rFonts w:eastAsia="Times New Roman" w:cstheme="minorHAnsi"/>
        <w:b/>
        <w:bCs/>
        <w:sz w:val="24"/>
        <w:szCs w:val="24"/>
        <w:u w:color="FF0000"/>
        <w:lang w:eastAsia="pt-BR"/>
      </w:rPr>
    </w:pPr>
  </w:p>
  <w:p w14:paraId="2AB6E74E" w14:textId="1477F7CD" w:rsidR="00461572" w:rsidRPr="00461572" w:rsidRDefault="00461572" w:rsidP="00461572">
    <w:pPr>
      <w:autoSpaceDE w:val="0"/>
      <w:autoSpaceDN w:val="0"/>
      <w:adjustRightInd w:val="0"/>
      <w:spacing w:after="0" w:line="320" w:lineRule="exact"/>
      <w:rPr>
        <w:rFonts w:eastAsia="Times New Roman" w:cstheme="minorHAnsi"/>
        <w:b/>
        <w:bCs/>
        <w:sz w:val="20"/>
        <w:szCs w:val="20"/>
        <w:u w:color="FF0000"/>
        <w:lang w:eastAsia="pt-BR"/>
      </w:rPr>
    </w:pPr>
    <w:r w:rsidRPr="00461572">
      <w:rPr>
        <w:rFonts w:eastAsia="Times New Roman" w:cstheme="minorHAnsi"/>
        <w:sz w:val="20"/>
        <w:szCs w:val="20"/>
        <w:u w:color="FF0000"/>
        <w:lang w:eastAsia="pt-BR"/>
      </w:rPr>
      <w:t>Versão vigente:</w:t>
    </w:r>
    <w:r w:rsidRPr="00461572">
      <w:rPr>
        <w:rFonts w:eastAsia="Times New Roman" w:cstheme="minorHAnsi"/>
        <w:b/>
        <w:bCs/>
        <w:sz w:val="20"/>
        <w:szCs w:val="20"/>
        <w:u w:color="FF0000"/>
        <w:lang w:eastAsia="pt-BR"/>
      </w:rPr>
      <w:t xml:space="preserve"> </w:t>
    </w:r>
    <w:r w:rsidRPr="00461572">
      <w:rPr>
        <w:rFonts w:eastAsia="Times New Roman" w:cstheme="minorHAnsi"/>
        <w:bCs/>
        <w:sz w:val="20"/>
        <w:szCs w:val="20"/>
        <w:u w:color="FF0000"/>
        <w:lang w:eastAsia="pt-BR"/>
      </w:rPr>
      <w:t>16/06/2026</w:t>
    </w:r>
  </w:p>
  <w:p w14:paraId="5F53540C" w14:textId="5F25ED29" w:rsidR="00D018F8" w:rsidRDefault="00D018F8" w:rsidP="004615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0750C" w14:textId="77777777" w:rsidR="0089162B" w:rsidRDefault="0089162B" w:rsidP="00263E6F">
      <w:pPr>
        <w:spacing w:after="0" w:line="240" w:lineRule="auto"/>
      </w:pPr>
      <w:r>
        <w:separator/>
      </w:r>
    </w:p>
  </w:footnote>
  <w:footnote w:type="continuationSeparator" w:id="0">
    <w:p w14:paraId="257FDF64" w14:textId="77777777" w:rsidR="0089162B" w:rsidRDefault="0089162B" w:rsidP="00263E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917"/>
    <w:rsid w:val="00000164"/>
    <w:rsid w:val="00006628"/>
    <w:rsid w:val="00014682"/>
    <w:rsid w:val="00035157"/>
    <w:rsid w:val="00114BF7"/>
    <w:rsid w:val="0012439C"/>
    <w:rsid w:val="001B2433"/>
    <w:rsid w:val="00242F72"/>
    <w:rsid w:val="00263E6F"/>
    <w:rsid w:val="002E25A7"/>
    <w:rsid w:val="002F2473"/>
    <w:rsid w:val="002F549B"/>
    <w:rsid w:val="00315961"/>
    <w:rsid w:val="003A7300"/>
    <w:rsid w:val="00461572"/>
    <w:rsid w:val="00472E10"/>
    <w:rsid w:val="00486917"/>
    <w:rsid w:val="006B669A"/>
    <w:rsid w:val="006C4909"/>
    <w:rsid w:val="007067FB"/>
    <w:rsid w:val="007421E4"/>
    <w:rsid w:val="007D7EC5"/>
    <w:rsid w:val="0089162B"/>
    <w:rsid w:val="008D75DA"/>
    <w:rsid w:val="00975C45"/>
    <w:rsid w:val="00995DC6"/>
    <w:rsid w:val="00A86ACB"/>
    <w:rsid w:val="00B06AA2"/>
    <w:rsid w:val="00B91E81"/>
    <w:rsid w:val="00D018F8"/>
    <w:rsid w:val="00D23B25"/>
    <w:rsid w:val="00D41529"/>
    <w:rsid w:val="00E06140"/>
    <w:rsid w:val="00EB7D0F"/>
    <w:rsid w:val="00F02D1F"/>
    <w:rsid w:val="00F1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42BBA"/>
  <w15:chartTrackingRefBased/>
  <w15:docId w15:val="{36E0918C-97F2-45F6-B464-B6D8FAC5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917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86917"/>
    <w:pPr>
      <w:keepNext/>
      <w:spacing w:before="20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bCs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86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86917"/>
    <w:rPr>
      <w:rFonts w:ascii="Times New Roman" w:eastAsia="Times New Roman" w:hAnsi="Times New Roman" w:cs="Times New Roman"/>
      <w:bC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869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4869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6917"/>
  </w:style>
  <w:style w:type="paragraph" w:styleId="Cabealho">
    <w:name w:val="header"/>
    <w:basedOn w:val="Normal"/>
    <w:link w:val="CabealhoChar"/>
    <w:uiPriority w:val="99"/>
    <w:unhideWhenUsed/>
    <w:rsid w:val="00263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3E6F"/>
  </w:style>
  <w:style w:type="paragraph" w:styleId="Reviso">
    <w:name w:val="Revision"/>
    <w:hidden/>
    <w:uiPriority w:val="99"/>
    <w:semiHidden/>
    <w:rsid w:val="00D23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1060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Pitta</dc:creator>
  <cp:keywords/>
  <dc:description/>
  <cp:lastModifiedBy>Benzecry e Pitta Advocacia Especializada</cp:lastModifiedBy>
  <cp:revision>3</cp:revision>
  <dcterms:created xsi:type="dcterms:W3CDTF">2026-08-13T19:34:00Z</dcterms:created>
  <dcterms:modified xsi:type="dcterms:W3CDTF">2026-08-13T20:05:00Z</dcterms:modified>
</cp:coreProperties>
</file>